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D54F0" w14:textId="320EF765" w:rsidR="009842A0" w:rsidRDefault="009842A0" w:rsidP="009842A0">
      <w:pPr>
        <w:pStyle w:val="CRCoverPage"/>
        <w:tabs>
          <w:tab w:val="right" w:pos="9639"/>
        </w:tabs>
        <w:spacing w:after="0"/>
        <w:rPr>
          <w:b/>
          <w:i/>
          <w:noProof/>
          <w:sz w:val="28"/>
        </w:rPr>
      </w:pPr>
      <w:bookmarkStart w:id="0" w:name="_Hlk213422528"/>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117</w:t>
        </w:r>
      </w:fldSimple>
      <w:fldSimple w:instr=" DOCPROPERTY  MtgTitle  \* MERGEFORMAT "/>
      <w:r>
        <w:rPr>
          <w:b/>
          <w:i/>
          <w:noProof/>
          <w:sz w:val="28"/>
        </w:rPr>
        <w:tab/>
      </w:r>
      <w:fldSimple w:instr=" DOCPROPERTY  Tdoc#  \* MERGEFORMAT ">
        <w:r w:rsidRPr="00E13F3D">
          <w:rPr>
            <w:b/>
            <w:i/>
            <w:noProof/>
            <w:sz w:val="28"/>
          </w:rPr>
          <w:t>R4-252174</w:t>
        </w:r>
        <w:r>
          <w:rPr>
            <w:b/>
            <w:i/>
            <w:noProof/>
            <w:sz w:val="28"/>
          </w:rPr>
          <w:t>6</w:t>
        </w:r>
      </w:fldSimple>
    </w:p>
    <w:p w14:paraId="64A04597" w14:textId="77777777" w:rsidR="009842A0" w:rsidRDefault="009842A0" w:rsidP="009842A0">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bookmarkEnd w:id="0"/>
    <w:p w14:paraId="72FFFB62" w14:textId="77777777" w:rsidR="00841BCD" w:rsidRPr="009842A0"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15BC8D9"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9351C8E" w14:textId="324E4B71"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21018B">
        <w:rPr>
          <w:rFonts w:ascii="Arial" w:eastAsia="Calibri" w:hAnsi="Arial" w:cs="Arial"/>
          <w:b/>
          <w:bCs/>
          <w:sz w:val="24"/>
        </w:rPr>
        <w:t>On introducing HD-FDD on the Ku Band</w:t>
      </w:r>
    </w:p>
    <w:p w14:paraId="25952065" w14:textId="45567009" w:rsidR="00841BCD" w:rsidRPr="0021018B" w:rsidRDefault="00841BCD" w:rsidP="00841BCD">
      <w:pPr>
        <w:tabs>
          <w:tab w:val="left" w:pos="1985"/>
        </w:tabs>
        <w:spacing w:after="120" w:line="240" w:lineRule="auto"/>
        <w:rPr>
          <w:rFonts w:ascii="Arial" w:eastAsia="MS Mincho" w:hAnsi="Arial" w:cs="Arial"/>
          <w:b/>
          <w:bCs/>
          <w:sz w:val="24"/>
          <w:szCs w:val="20"/>
          <w:lang w:val="en-US"/>
        </w:rPr>
      </w:pPr>
      <w:r w:rsidRPr="0021018B">
        <w:rPr>
          <w:rFonts w:ascii="Arial" w:eastAsia="MS Mincho" w:hAnsi="Arial" w:cs="Arial"/>
          <w:b/>
          <w:bCs/>
          <w:sz w:val="24"/>
          <w:szCs w:val="20"/>
          <w:lang w:val="en-US"/>
        </w:rPr>
        <w:t>Agenda item:</w:t>
      </w:r>
      <w:r w:rsidRPr="0021018B">
        <w:rPr>
          <w:rFonts w:ascii="Arial" w:eastAsia="MS Mincho" w:hAnsi="Arial" w:cs="Arial"/>
          <w:b/>
          <w:bCs/>
          <w:sz w:val="24"/>
          <w:szCs w:val="20"/>
          <w:lang w:val="en-US"/>
        </w:rPr>
        <w:tab/>
      </w:r>
      <w:r w:rsidR="00ED01C8" w:rsidRPr="0021018B">
        <w:rPr>
          <w:rFonts w:ascii="Arial" w:eastAsia="MS Mincho" w:hAnsi="Arial" w:cs="Arial"/>
          <w:b/>
          <w:bCs/>
          <w:sz w:val="24"/>
          <w:szCs w:val="20"/>
          <w:lang w:val="en-US"/>
        </w:rPr>
        <w:t>7.</w:t>
      </w:r>
      <w:r w:rsidR="0027724B" w:rsidRPr="0021018B">
        <w:rPr>
          <w:rFonts w:ascii="Arial" w:eastAsia="MS Mincho" w:hAnsi="Arial" w:cs="Arial"/>
          <w:b/>
          <w:bCs/>
          <w:sz w:val="24"/>
          <w:szCs w:val="20"/>
          <w:lang w:val="en-US"/>
        </w:rPr>
        <w:t>6.4.2</w:t>
      </w:r>
    </w:p>
    <w:p w14:paraId="65088DFE" w14:textId="550BC4B7" w:rsidR="00E323E9" w:rsidRPr="0021018B" w:rsidRDefault="00841BCD" w:rsidP="00841BCD">
      <w:pPr>
        <w:tabs>
          <w:tab w:val="left" w:pos="1985"/>
        </w:tabs>
        <w:rPr>
          <w:rFonts w:ascii="Arial" w:eastAsia="Calibri" w:hAnsi="Arial" w:cs="Arial"/>
          <w:b/>
          <w:bCs/>
          <w:sz w:val="24"/>
          <w:lang w:val="en-US"/>
        </w:rPr>
      </w:pPr>
      <w:r w:rsidRPr="0021018B">
        <w:rPr>
          <w:rFonts w:ascii="Arial" w:eastAsia="Calibri" w:hAnsi="Arial" w:cs="Arial"/>
          <w:b/>
          <w:bCs/>
          <w:sz w:val="24"/>
          <w:lang w:val="en-US"/>
        </w:rPr>
        <w:t>Document for:</w:t>
      </w:r>
      <w:r w:rsidRPr="0021018B">
        <w:rPr>
          <w:rFonts w:ascii="Arial" w:eastAsia="Calibri" w:hAnsi="Arial" w:cs="Arial"/>
          <w:b/>
          <w:bCs/>
          <w:sz w:val="24"/>
          <w:lang w:val="en-US"/>
        </w:rPr>
        <w:tab/>
      </w:r>
      <w:r w:rsidR="0078015B">
        <w:rPr>
          <w:rFonts w:ascii="Arial" w:eastAsia="Calibri" w:hAnsi="Arial" w:cs="Arial"/>
          <w:b/>
          <w:bCs/>
          <w:sz w:val="24"/>
          <w:lang w:val="en-US"/>
        </w:rPr>
        <w:t>Approval</w:t>
      </w:r>
    </w:p>
    <w:p w14:paraId="143C382C" w14:textId="77777777" w:rsidR="00841BCD" w:rsidRPr="008F786B" w:rsidRDefault="00841BCD" w:rsidP="00A37002">
      <w:pPr>
        <w:pStyle w:val="RAN4H1"/>
      </w:pPr>
      <w:bookmarkStart w:id="1" w:name="_Toc116995841"/>
      <w:r w:rsidRPr="008F786B">
        <w:t>Intro</w:t>
      </w:r>
      <w:r w:rsidRPr="008F786B">
        <w:rPr>
          <w:rStyle w:val="RAN4H1Char"/>
        </w:rPr>
        <w:t>ductio</w:t>
      </w:r>
      <w:r w:rsidRPr="008F786B">
        <w:t>n</w:t>
      </w:r>
      <w:bookmarkEnd w:id="1"/>
    </w:p>
    <w:p w14:paraId="7772F922" w14:textId="36682FF5" w:rsidR="00281B89" w:rsidRDefault="007A5589" w:rsidP="00281B89">
      <w:r>
        <w:t xml:space="preserve">In [1], RAN plenary has approved a new WI for NTN, </w:t>
      </w:r>
      <w:r w:rsidR="00281B89">
        <w:t>comprised with 3 main objectives:</w:t>
      </w:r>
    </w:p>
    <w:p w14:paraId="42E75E94" w14:textId="149EB022" w:rsidR="00281B89" w:rsidRDefault="00281B89" w:rsidP="00281B89">
      <w:pPr>
        <w:pStyle w:val="ListParagraph"/>
        <w:numPr>
          <w:ilvl w:val="0"/>
          <w:numId w:val="38"/>
        </w:numPr>
      </w:pPr>
      <w:r>
        <w:t>HP-UE in NTN</w:t>
      </w:r>
    </w:p>
    <w:p w14:paraId="6835B754" w14:textId="0A2AECD2" w:rsidR="00281B89" w:rsidRDefault="00281B89" w:rsidP="00281B89">
      <w:pPr>
        <w:pStyle w:val="ListParagraph"/>
        <w:numPr>
          <w:ilvl w:val="0"/>
          <w:numId w:val="38"/>
        </w:numPr>
        <w:rPr>
          <w:lang w:val="en-US"/>
        </w:rPr>
      </w:pPr>
      <w:r w:rsidRPr="00281B89">
        <w:rPr>
          <w:lang w:val="en-US"/>
        </w:rPr>
        <w:t>HD-FDD for Ku band opera</w:t>
      </w:r>
      <w:r>
        <w:rPr>
          <w:lang w:val="en-US"/>
        </w:rPr>
        <w:t>tion (both in FR1 and FR2 numerology)</w:t>
      </w:r>
    </w:p>
    <w:p w14:paraId="26C9310C" w14:textId="26BA71BC" w:rsidR="00281B89" w:rsidRPr="00281B89" w:rsidRDefault="00281B89" w:rsidP="00281B89">
      <w:pPr>
        <w:pStyle w:val="ListParagraph"/>
        <w:numPr>
          <w:ilvl w:val="0"/>
          <w:numId w:val="38"/>
        </w:numPr>
        <w:rPr>
          <w:lang w:val="en-US"/>
        </w:rPr>
      </w:pPr>
      <w:r>
        <w:rPr>
          <w:lang w:val="en-US"/>
        </w:rPr>
        <w:t>DL intra-band, intra-SAN CA for NTN</w:t>
      </w:r>
    </w:p>
    <w:p w14:paraId="3D1CF53D" w14:textId="490F9223" w:rsidR="001002DC" w:rsidRDefault="00281B89" w:rsidP="005C23A4">
      <w:r>
        <w:t>The different objectives were specified with different timelines for the completion of work. For the RRM part, the current work is focused on discussing potential impacts of the HD-FDD implementation in Ku band. In the current phase of work the focus will be in Ku band functioning with FR1 numerology.</w:t>
      </w:r>
      <w:r w:rsidR="001002DC">
        <w:t xml:space="preserve"> Discussions were initiated in RAN4 #116bis and a Way-Forward</w:t>
      </w:r>
      <w:r w:rsidR="007F12FA">
        <w:t xml:space="preserve"> </w:t>
      </w:r>
      <w:r w:rsidR="007F12FA" w:rsidRPr="007F12FA">
        <w:rPr>
          <w:lang w:val="en-US"/>
        </w:rPr>
        <w:t>(</w:t>
      </w:r>
      <w:r w:rsidR="007F12FA">
        <w:rPr>
          <w:lang w:val="en-US"/>
        </w:rPr>
        <w:t>WF)</w:t>
      </w:r>
      <w:r w:rsidR="001002DC">
        <w:t xml:space="preserve"> was agreed, capturing a list of current open issues identified based on company contributions</w:t>
      </w:r>
      <w:r w:rsidR="007F12FA">
        <w:t xml:space="preserve"> </w:t>
      </w:r>
      <w:r w:rsidR="007F12FA">
        <w:fldChar w:fldCharType="begin"/>
      </w:r>
      <w:r w:rsidR="007F12FA">
        <w:instrText xml:space="preserve"> REF _Ref213405183 \r \h </w:instrText>
      </w:r>
      <w:r w:rsidR="007F12FA">
        <w:fldChar w:fldCharType="separate"/>
      </w:r>
      <w:r w:rsidR="007F12FA">
        <w:t>[2]</w:t>
      </w:r>
      <w:r w:rsidR="007F12FA">
        <w:fldChar w:fldCharType="end"/>
      </w:r>
      <w:r w:rsidR="001002DC">
        <w:t xml:space="preserve">. </w:t>
      </w:r>
    </w:p>
    <w:p w14:paraId="64585B5E" w14:textId="1D96CC01" w:rsidR="0060543D" w:rsidRPr="007A5589" w:rsidRDefault="00281B89" w:rsidP="005C23A4">
      <w:pPr>
        <w:rPr>
          <w:lang w:val="en-US"/>
        </w:rPr>
      </w:pPr>
      <w:r>
        <w:t xml:space="preserve"> In this document, we will provide our initial views on the HD-FDD aspects implementation in Ku Band. </w:t>
      </w:r>
    </w:p>
    <w:p w14:paraId="2CB62175" w14:textId="77777777" w:rsidR="00B66B7D" w:rsidRPr="008F786B" w:rsidRDefault="003B659E" w:rsidP="00B66B7D">
      <w:pPr>
        <w:pStyle w:val="RAN4H1"/>
      </w:pPr>
      <w:bookmarkStart w:id="2" w:name="_Toc116995842"/>
      <w:r w:rsidRPr="008F786B">
        <w:t>Discussion</w:t>
      </w:r>
      <w:bookmarkEnd w:id="2"/>
    </w:p>
    <w:p w14:paraId="13F08EE3" w14:textId="6D3F511D" w:rsidR="00895AFB" w:rsidRDefault="00281B89" w:rsidP="007F12FA">
      <w:pPr>
        <w:rPr>
          <w:lang w:val="en-US"/>
        </w:rPr>
      </w:pPr>
      <w:r>
        <w:t xml:space="preserve">For the most part, HD-FDD impact on RAN4 requirements is dependent on implementation and design </w:t>
      </w:r>
      <w:r w:rsidR="00997736">
        <w:rPr>
          <w:lang w:val="en-US"/>
        </w:rPr>
        <w:t xml:space="preserve">of RAN1. The reason is that there must be rules for handling collisions of UL transmissions and DL reception at the UE when there is an overlap of occasions. </w:t>
      </w:r>
      <w:r w:rsidR="007F12FA">
        <w:rPr>
          <w:lang w:val="en-US"/>
        </w:rPr>
        <w:t xml:space="preserve">This has been captured in both the WID and the WF. </w:t>
      </w:r>
    </w:p>
    <w:tbl>
      <w:tblPr>
        <w:tblStyle w:val="TableGrid"/>
        <w:tblW w:w="0" w:type="auto"/>
        <w:tblLook w:val="04A0" w:firstRow="1" w:lastRow="0" w:firstColumn="1" w:lastColumn="0" w:noHBand="0" w:noVBand="1"/>
      </w:tblPr>
      <w:tblGrid>
        <w:gridCol w:w="9617"/>
      </w:tblGrid>
      <w:tr w:rsidR="007F12FA" w14:paraId="647FBE12" w14:textId="77777777" w:rsidTr="007F12FA">
        <w:tc>
          <w:tcPr>
            <w:tcW w:w="9617" w:type="dxa"/>
          </w:tcPr>
          <w:p w14:paraId="6B8ABC9D" w14:textId="77777777" w:rsidR="007F12FA" w:rsidRPr="007F12FA" w:rsidRDefault="007F12FA" w:rsidP="007F12FA">
            <w:pPr>
              <w:rPr>
                <w:lang w:val="en-US"/>
              </w:rPr>
            </w:pPr>
            <w:r w:rsidRPr="007F12FA">
              <w:t>Agreement</w:t>
            </w:r>
          </w:p>
          <w:p w14:paraId="4472B318" w14:textId="77777777" w:rsidR="007F12FA" w:rsidRPr="007F12FA" w:rsidRDefault="007F12FA" w:rsidP="007F12FA">
            <w:pPr>
              <w:numPr>
                <w:ilvl w:val="0"/>
                <w:numId w:val="47"/>
              </w:numPr>
            </w:pPr>
            <w:r w:rsidRPr="007F12FA">
              <w:t>Define the HD</w:t>
            </w:r>
            <w:r w:rsidRPr="007F12FA">
              <w:noBreakHyphen/>
              <w:t>FDD VSAT with FR1 numerology RRM requirements based on the Rel</w:t>
            </w:r>
            <w:r w:rsidRPr="007F12FA">
              <w:noBreakHyphen/>
              <w:t>19 Ku</w:t>
            </w:r>
            <w:r w:rsidRPr="007F12FA">
              <w:noBreakHyphen/>
              <w:t>band NTN FDD requirements, and incorporate updates to address HD</w:t>
            </w:r>
            <w:r w:rsidRPr="007F12FA">
              <w:noBreakHyphen/>
              <w:t>FDD impacts, using the RedCap NTN approach as the baseline.</w:t>
            </w:r>
          </w:p>
          <w:p w14:paraId="0B26A474" w14:textId="77777777" w:rsidR="007F12FA" w:rsidRPr="007F12FA" w:rsidRDefault="007F12FA" w:rsidP="007F12FA"/>
        </w:tc>
      </w:tr>
    </w:tbl>
    <w:p w14:paraId="7909EF1C" w14:textId="77777777" w:rsidR="007F12FA" w:rsidRDefault="007F12FA" w:rsidP="007F12FA">
      <w:pPr>
        <w:rPr>
          <w:lang w:val="en-US"/>
        </w:rPr>
      </w:pPr>
    </w:p>
    <w:p w14:paraId="75ED4DB8" w14:textId="2037D5D0" w:rsidR="007F12FA" w:rsidRDefault="007F12FA" w:rsidP="007F12FA">
      <w:pPr>
        <w:rPr>
          <w:lang w:val="en-US"/>
        </w:rPr>
      </w:pPr>
      <w:r>
        <w:rPr>
          <w:lang w:val="en-US"/>
        </w:rPr>
        <w:t xml:space="preserve">In this document we discuss some of the open issues in the WF, in the next sections. </w:t>
      </w:r>
    </w:p>
    <w:p w14:paraId="704E81D7" w14:textId="704684D1" w:rsidR="007F12FA" w:rsidRDefault="007F12FA" w:rsidP="007F12FA">
      <w:pPr>
        <w:pStyle w:val="RAN4H2"/>
        <w:rPr>
          <w:lang w:val="en-US"/>
        </w:rPr>
      </w:pPr>
      <w:r>
        <w:rPr>
          <w:lang w:val="en-US"/>
        </w:rPr>
        <w:t>UE UL Timing Accuracy</w:t>
      </w:r>
    </w:p>
    <w:p w14:paraId="070A2EC6" w14:textId="5C41D634" w:rsidR="007F12FA" w:rsidRPr="007F12FA" w:rsidRDefault="007F12FA" w:rsidP="007F12FA">
      <w:pPr>
        <w:rPr>
          <w:lang w:val="en-US"/>
        </w:rPr>
      </w:pPr>
      <w:r>
        <w:rPr>
          <w:lang w:val="en-US"/>
        </w:rPr>
        <w:t xml:space="preserve">In the WF, Issue 2-1-5 was dedicated to discuss whether UE UL timing accuracy is impacted by HD-FDD operation. </w:t>
      </w:r>
    </w:p>
    <w:tbl>
      <w:tblPr>
        <w:tblStyle w:val="TableGrid"/>
        <w:tblW w:w="0" w:type="auto"/>
        <w:tblLook w:val="04A0" w:firstRow="1" w:lastRow="0" w:firstColumn="1" w:lastColumn="0" w:noHBand="0" w:noVBand="1"/>
      </w:tblPr>
      <w:tblGrid>
        <w:gridCol w:w="9617"/>
      </w:tblGrid>
      <w:tr w:rsidR="007F12FA" w14:paraId="657BCDB2" w14:textId="77777777" w:rsidTr="007F12FA">
        <w:tc>
          <w:tcPr>
            <w:tcW w:w="9617" w:type="dxa"/>
          </w:tcPr>
          <w:p w14:paraId="76F4BC62" w14:textId="77777777" w:rsidR="007F12FA" w:rsidRPr="007F12FA" w:rsidRDefault="007F12FA" w:rsidP="007F12FA">
            <w:pPr>
              <w:rPr>
                <w:lang w:val="en-US"/>
              </w:rPr>
            </w:pPr>
            <w:r w:rsidRPr="007F12FA">
              <w:rPr>
                <w:lang w:val="en-US"/>
              </w:rPr>
              <w:t>Issue 2-1-5: UE UL timing accuracy</w:t>
            </w:r>
          </w:p>
          <w:p w14:paraId="25EBE195" w14:textId="77777777" w:rsidR="007F12FA" w:rsidRPr="007F12FA" w:rsidRDefault="007F12FA" w:rsidP="007F12FA">
            <w:pPr>
              <w:rPr>
                <w:bCs/>
              </w:rPr>
            </w:pPr>
            <w:r w:rsidRPr="007F12FA">
              <w:rPr>
                <w:bCs/>
              </w:rPr>
              <w:t>WayForward</w:t>
            </w:r>
          </w:p>
          <w:p w14:paraId="6539CCD8" w14:textId="77777777" w:rsidR="007F12FA" w:rsidRPr="007F12FA" w:rsidRDefault="007F12FA" w:rsidP="007F12FA">
            <w:pPr>
              <w:numPr>
                <w:ilvl w:val="0"/>
                <w:numId w:val="47"/>
              </w:numPr>
            </w:pPr>
            <w:r w:rsidRPr="007F12FA">
              <w:t>Further discuss the following options</w:t>
            </w:r>
          </w:p>
          <w:p w14:paraId="757471C0" w14:textId="77777777" w:rsidR="007F12FA" w:rsidRPr="007F12FA" w:rsidRDefault="007F12FA" w:rsidP="007F12FA">
            <w:pPr>
              <w:numPr>
                <w:ilvl w:val="1"/>
                <w:numId w:val="47"/>
              </w:numPr>
            </w:pPr>
            <w:r w:rsidRPr="007F12FA">
              <w:t>Option 1: HD-FDD has no impact on UE UL timing accuracy.</w:t>
            </w:r>
          </w:p>
          <w:p w14:paraId="0F3CD98D" w14:textId="77777777" w:rsidR="007F12FA" w:rsidRPr="007F12FA" w:rsidRDefault="007F12FA" w:rsidP="007F12FA">
            <w:pPr>
              <w:numPr>
                <w:ilvl w:val="1"/>
                <w:numId w:val="47"/>
              </w:numPr>
            </w:pPr>
            <w:r w:rsidRPr="007F12FA">
              <w:t>Option 2: FFS impact due to Tx/Rx pattern.</w:t>
            </w:r>
          </w:p>
          <w:p w14:paraId="141E3249" w14:textId="77777777" w:rsidR="007F12FA" w:rsidRPr="007F12FA" w:rsidRDefault="007F12FA" w:rsidP="007F12FA"/>
        </w:tc>
      </w:tr>
    </w:tbl>
    <w:p w14:paraId="3D43BE89" w14:textId="77777777" w:rsidR="007F12FA" w:rsidRDefault="007F12FA" w:rsidP="007F12FA">
      <w:pPr>
        <w:rPr>
          <w:lang w:val="en-US"/>
        </w:rPr>
      </w:pPr>
    </w:p>
    <w:p w14:paraId="369B5283" w14:textId="7CF5F367" w:rsidR="007F12FA" w:rsidRDefault="007F12FA" w:rsidP="007F12FA">
      <w:pPr>
        <w:rPr>
          <w:lang w:val="en-US"/>
        </w:rPr>
      </w:pPr>
      <w:r>
        <w:rPr>
          <w:lang w:val="en-US"/>
        </w:rPr>
        <w:t xml:space="preserve">The transmit timing requirements presented in clause 7.1C indicate that the UE shall meet the requirements as long as at least one SSB is available at the UE during the last 160 ms. This condition is sufficient, and capture any potential impact of unavailability of SSBs due to collision with UL transmissions. It is our opinion that, in this case, the requirement does not need to be updated. </w:t>
      </w:r>
    </w:p>
    <w:p w14:paraId="2CB7B507" w14:textId="24EFAA17" w:rsidR="007F12FA" w:rsidRDefault="007F12FA" w:rsidP="007F12FA">
      <w:pPr>
        <w:pStyle w:val="RAN4proposal"/>
        <w:rPr>
          <w:lang w:val="en-US"/>
        </w:rPr>
      </w:pPr>
      <w:bookmarkStart w:id="3" w:name="_Toc213422199"/>
      <w:r>
        <w:rPr>
          <w:lang w:val="en-US"/>
        </w:rPr>
        <w:lastRenderedPageBreak/>
        <w:t>HD-FDD has no impact on UE UL Transmit Timing Accuracy.</w:t>
      </w:r>
      <w:bookmarkEnd w:id="3"/>
      <w:r>
        <w:rPr>
          <w:lang w:val="en-US"/>
        </w:rPr>
        <w:t xml:space="preserve"> </w:t>
      </w:r>
    </w:p>
    <w:p w14:paraId="21A8C954" w14:textId="4D5AAF65" w:rsidR="007F12FA" w:rsidRDefault="00DE52E0" w:rsidP="00DE52E0">
      <w:pPr>
        <w:pStyle w:val="RAN4H2"/>
        <w:rPr>
          <w:lang w:val="en-US"/>
        </w:rPr>
      </w:pPr>
      <w:r>
        <w:rPr>
          <w:lang w:val="en-US"/>
        </w:rPr>
        <w:t>Handover interruption time</w:t>
      </w:r>
    </w:p>
    <w:p w14:paraId="5EB22834" w14:textId="4E919F48" w:rsidR="00DE52E0" w:rsidRDefault="00DE52E0" w:rsidP="00DE52E0">
      <w:pPr>
        <w:rPr>
          <w:lang w:val="en-US"/>
        </w:rPr>
      </w:pPr>
      <w:r>
        <w:rPr>
          <w:lang w:val="en-US"/>
        </w:rPr>
        <w:t>In the previous meeting, several aspects of connected mode mobility were discussed for VSAT UEs using HD-FDD deployments. In the WF, Issue 2-1-3 captured the summary of these discussions:</w:t>
      </w:r>
    </w:p>
    <w:tbl>
      <w:tblPr>
        <w:tblStyle w:val="TableGrid"/>
        <w:tblW w:w="0" w:type="auto"/>
        <w:tblLook w:val="04A0" w:firstRow="1" w:lastRow="0" w:firstColumn="1" w:lastColumn="0" w:noHBand="0" w:noVBand="1"/>
      </w:tblPr>
      <w:tblGrid>
        <w:gridCol w:w="9617"/>
      </w:tblGrid>
      <w:tr w:rsidR="00DE52E0" w14:paraId="40172729" w14:textId="77777777" w:rsidTr="00DE52E0">
        <w:tc>
          <w:tcPr>
            <w:tcW w:w="9617" w:type="dxa"/>
          </w:tcPr>
          <w:p w14:paraId="707A5B9D" w14:textId="77777777" w:rsidR="00DE52E0" w:rsidRPr="00DE52E0" w:rsidRDefault="00DE52E0" w:rsidP="00DE52E0">
            <w:pPr>
              <w:keepNext/>
              <w:keepLines/>
              <w:spacing w:before="120" w:after="180"/>
              <w:outlineLvl w:val="3"/>
              <w:rPr>
                <w:rFonts w:ascii="Arial" w:eastAsia="SimSun" w:hAnsi="Arial" w:cs="Times New Roman"/>
                <w:sz w:val="24"/>
                <w:szCs w:val="18"/>
                <w:lang w:val="en-US" w:eastAsia="zh-CN"/>
              </w:rPr>
            </w:pPr>
            <w:r w:rsidRPr="00DE52E0">
              <w:rPr>
                <w:rFonts w:ascii="Arial" w:eastAsia="SimSun" w:hAnsi="Arial" w:cs="Times New Roman"/>
                <w:sz w:val="24"/>
                <w:szCs w:val="18"/>
                <w:lang w:val="en-US" w:eastAsia="zh-CN"/>
              </w:rPr>
              <w:t xml:space="preserve">Issue 2-1-3: Handover interruption time </w:t>
            </w:r>
          </w:p>
          <w:p w14:paraId="21197DD0" w14:textId="77777777" w:rsidR="00DE52E0" w:rsidRPr="00DE52E0" w:rsidRDefault="00DE52E0" w:rsidP="00DE52E0">
            <w:pPr>
              <w:spacing w:after="120"/>
              <w:rPr>
                <w:rFonts w:eastAsia="SimSun" w:cs="Times New Roman"/>
                <w:bCs/>
                <w:szCs w:val="20"/>
              </w:rPr>
            </w:pPr>
            <w:r w:rsidRPr="00DE52E0">
              <w:rPr>
                <w:rFonts w:eastAsia="SimSun" w:cs="Times New Roman"/>
                <w:bCs/>
                <w:szCs w:val="20"/>
              </w:rPr>
              <w:t>WayForward</w:t>
            </w:r>
          </w:p>
          <w:p w14:paraId="69FC5E11" w14:textId="77777777" w:rsidR="00DE52E0" w:rsidRPr="00DE52E0" w:rsidRDefault="00DE52E0" w:rsidP="00DE52E0">
            <w:pPr>
              <w:numPr>
                <w:ilvl w:val="0"/>
                <w:numId w:val="47"/>
              </w:numPr>
              <w:overflowPunct w:val="0"/>
              <w:autoSpaceDE w:val="0"/>
              <w:autoSpaceDN w:val="0"/>
              <w:adjustRightInd w:val="0"/>
              <w:spacing w:after="120"/>
              <w:rPr>
                <w:rFonts w:eastAsia="MS Mincho" w:cs="Times New Roman"/>
                <w:szCs w:val="20"/>
              </w:rPr>
            </w:pPr>
            <w:r w:rsidRPr="00DE52E0">
              <w:rPr>
                <w:rFonts w:eastAsia="MS Mincho" w:cs="Times New Roman"/>
                <w:szCs w:val="20"/>
              </w:rPr>
              <w:t>Option 1: HD-FDD has no impact on NR handover.</w:t>
            </w:r>
          </w:p>
          <w:p w14:paraId="11B19349" w14:textId="77777777" w:rsidR="00DE52E0" w:rsidRPr="00DE52E0" w:rsidRDefault="00DE52E0" w:rsidP="00DE52E0">
            <w:pPr>
              <w:numPr>
                <w:ilvl w:val="0"/>
                <w:numId w:val="47"/>
              </w:numPr>
              <w:overflowPunct w:val="0"/>
              <w:autoSpaceDE w:val="0"/>
              <w:autoSpaceDN w:val="0"/>
              <w:adjustRightInd w:val="0"/>
              <w:spacing w:after="120"/>
              <w:rPr>
                <w:rFonts w:eastAsia="MS Mincho" w:cs="Times New Roman"/>
                <w:szCs w:val="20"/>
              </w:rPr>
            </w:pPr>
            <w:r w:rsidRPr="00DE52E0">
              <w:rPr>
                <w:rFonts w:eastAsia="MS Mincho" w:cs="Times New Roman"/>
                <w:szCs w:val="20"/>
              </w:rPr>
              <w:t>Option 2: FFS impact due to reduced Rx time</w:t>
            </w:r>
          </w:p>
          <w:p w14:paraId="646C1A94" w14:textId="77777777" w:rsidR="00DE52E0" w:rsidRPr="00DE52E0" w:rsidRDefault="00DE52E0" w:rsidP="00DE52E0">
            <w:pPr>
              <w:numPr>
                <w:ilvl w:val="0"/>
                <w:numId w:val="47"/>
              </w:numPr>
              <w:overflowPunct w:val="0"/>
              <w:autoSpaceDE w:val="0"/>
              <w:autoSpaceDN w:val="0"/>
              <w:adjustRightInd w:val="0"/>
              <w:spacing w:after="120"/>
              <w:rPr>
                <w:rFonts w:eastAsia="MS Mincho" w:cs="Times New Roman"/>
                <w:szCs w:val="20"/>
              </w:rPr>
            </w:pPr>
            <w:r w:rsidRPr="00DE52E0">
              <w:rPr>
                <w:rFonts w:eastAsia="MS Mincho" w:cs="Times New Roman"/>
                <w:szCs w:val="20"/>
              </w:rPr>
              <w:t>Further discuss the following conditions for HD-FDD</w:t>
            </w:r>
          </w:p>
          <w:p w14:paraId="22448F69" w14:textId="77777777" w:rsidR="00DE52E0" w:rsidRPr="00DE52E0" w:rsidRDefault="00DE52E0" w:rsidP="00DE52E0">
            <w:pPr>
              <w:numPr>
                <w:ilvl w:val="1"/>
                <w:numId w:val="47"/>
              </w:numPr>
              <w:overflowPunct w:val="0"/>
              <w:autoSpaceDE w:val="0"/>
              <w:autoSpaceDN w:val="0"/>
              <w:adjustRightInd w:val="0"/>
              <w:spacing w:after="120"/>
              <w:rPr>
                <w:rFonts w:eastAsia="MS Mincho" w:cs="Times New Roman"/>
                <w:szCs w:val="20"/>
              </w:rPr>
            </w:pPr>
            <w:r w:rsidRPr="00DE52E0">
              <w:rPr>
                <w:rFonts w:eastAsia="MS Mincho" w:cs="Times New Roman"/>
                <w:szCs w:val="20"/>
              </w:rPr>
              <w:t>For RACH-based HO and Satellite switching with re-synchronization, following applicability rules to adapt HD-FDD case should be added:</w:t>
            </w:r>
          </w:p>
          <w:p w14:paraId="3B3E7B59" w14:textId="77777777" w:rsidR="00DE52E0" w:rsidRPr="00DE52E0" w:rsidRDefault="00DE52E0" w:rsidP="00DE52E0">
            <w:pPr>
              <w:numPr>
                <w:ilvl w:val="2"/>
                <w:numId w:val="47"/>
              </w:numPr>
              <w:overflowPunct w:val="0"/>
              <w:autoSpaceDE w:val="0"/>
              <w:autoSpaceDN w:val="0"/>
              <w:adjustRightInd w:val="0"/>
              <w:spacing w:beforeLines="50" w:before="120" w:afterLines="50" w:after="120"/>
              <w:jc w:val="both"/>
              <w:rPr>
                <w:rFonts w:eastAsia="SimSun" w:cs="Times New Roman"/>
                <w:szCs w:val="20"/>
              </w:rPr>
            </w:pPr>
            <w:r w:rsidRPr="00DE52E0">
              <w:rPr>
                <w:rFonts w:eastAsia="SimSun" w:cs="Times New Roman"/>
                <w:szCs w:val="20"/>
              </w:rPr>
              <w:t>SSB is available at the UE once every SMTC period during Tsearch</w:t>
            </w:r>
          </w:p>
          <w:p w14:paraId="670ED4C1" w14:textId="77777777" w:rsidR="00DE52E0" w:rsidRPr="00DE52E0" w:rsidRDefault="00DE52E0" w:rsidP="00DE52E0">
            <w:pPr>
              <w:numPr>
                <w:ilvl w:val="2"/>
                <w:numId w:val="47"/>
              </w:numPr>
              <w:overflowPunct w:val="0"/>
              <w:autoSpaceDE w:val="0"/>
              <w:autoSpaceDN w:val="0"/>
              <w:adjustRightInd w:val="0"/>
              <w:spacing w:beforeLines="50" w:before="120" w:afterLines="50" w:after="120"/>
              <w:jc w:val="both"/>
              <w:rPr>
                <w:rFonts w:eastAsia="SimSun" w:cs="Times New Roman"/>
                <w:szCs w:val="20"/>
              </w:rPr>
            </w:pPr>
            <w:r w:rsidRPr="00DE52E0">
              <w:rPr>
                <w:rFonts w:eastAsia="SimSun" w:cs="Times New Roman"/>
                <w:szCs w:val="20"/>
              </w:rPr>
              <w:t>One SSB is available during T</w:t>
            </w:r>
            <w:r w:rsidRPr="00DE52E0">
              <w:rPr>
                <w:rFonts w:eastAsia="SimSun" w:cs="Times New Roman"/>
                <w:szCs w:val="20"/>
                <w:vertAlign w:val="subscript"/>
              </w:rPr>
              <w:t>∆</w:t>
            </w:r>
          </w:p>
          <w:p w14:paraId="3F04DEA2" w14:textId="77777777" w:rsidR="00DE52E0" w:rsidRPr="00DE52E0" w:rsidRDefault="00DE52E0" w:rsidP="00DE52E0">
            <w:pPr>
              <w:numPr>
                <w:ilvl w:val="2"/>
                <w:numId w:val="47"/>
              </w:numPr>
              <w:overflowPunct w:val="0"/>
              <w:autoSpaceDE w:val="0"/>
              <w:autoSpaceDN w:val="0"/>
              <w:adjustRightInd w:val="0"/>
              <w:spacing w:beforeLines="50" w:before="120" w:afterLines="50" w:after="120"/>
              <w:jc w:val="both"/>
              <w:rPr>
                <w:rFonts w:eastAsia="SimSun" w:cs="Times New Roman"/>
                <w:szCs w:val="20"/>
              </w:rPr>
            </w:pPr>
            <w:r w:rsidRPr="00DE52E0">
              <w:rPr>
                <w:rFonts w:eastAsia="SimSun" w:cs="Times New Roman"/>
                <w:szCs w:val="20"/>
              </w:rPr>
              <w:t>One SSB is available during T</w:t>
            </w:r>
            <w:r w:rsidRPr="00DE52E0">
              <w:rPr>
                <w:rFonts w:eastAsia="SimSun" w:cs="Times New Roman"/>
                <w:szCs w:val="20"/>
                <w:vertAlign w:val="subscript"/>
              </w:rPr>
              <w:t>IU</w:t>
            </w:r>
          </w:p>
          <w:p w14:paraId="38DDC39F" w14:textId="77777777" w:rsidR="00DE52E0" w:rsidRPr="00DE52E0" w:rsidRDefault="00DE52E0" w:rsidP="00DE52E0">
            <w:pPr>
              <w:numPr>
                <w:ilvl w:val="1"/>
                <w:numId w:val="47"/>
              </w:numPr>
              <w:overflowPunct w:val="0"/>
              <w:autoSpaceDE w:val="0"/>
              <w:autoSpaceDN w:val="0"/>
              <w:adjustRightInd w:val="0"/>
              <w:spacing w:after="120"/>
              <w:rPr>
                <w:rFonts w:eastAsia="MS Mincho" w:cs="Times New Roman"/>
                <w:szCs w:val="20"/>
              </w:rPr>
            </w:pPr>
            <w:r w:rsidRPr="00DE52E0">
              <w:rPr>
                <w:rFonts w:eastAsia="MS Mincho" w:cs="Times New Roman"/>
                <w:szCs w:val="20"/>
              </w:rPr>
              <w:t>For Time/location-based CHO with L3 measurement, following applicability rules to adapt HD-FDD case should be added:</w:t>
            </w:r>
          </w:p>
          <w:p w14:paraId="2EA66B47" w14:textId="77777777" w:rsidR="00DE52E0" w:rsidRPr="00DE52E0" w:rsidRDefault="00DE52E0" w:rsidP="00DE52E0">
            <w:pPr>
              <w:numPr>
                <w:ilvl w:val="2"/>
                <w:numId w:val="47"/>
              </w:numPr>
              <w:overflowPunct w:val="0"/>
              <w:autoSpaceDE w:val="0"/>
              <w:autoSpaceDN w:val="0"/>
              <w:adjustRightInd w:val="0"/>
              <w:spacing w:beforeLines="50" w:before="120" w:afterLines="50" w:after="120"/>
              <w:jc w:val="both"/>
              <w:rPr>
                <w:rFonts w:eastAsia="SimSun" w:cs="Times New Roman"/>
                <w:szCs w:val="20"/>
              </w:rPr>
            </w:pPr>
            <w:r w:rsidRPr="00DE52E0">
              <w:rPr>
                <w:rFonts w:eastAsia="SimSun" w:cs="Times New Roman"/>
                <w:szCs w:val="20"/>
              </w:rPr>
              <w:t>One SSB is available during T</w:t>
            </w:r>
            <w:r w:rsidRPr="00DE52E0">
              <w:rPr>
                <w:rFonts w:eastAsia="SimSun" w:cs="Times New Roman"/>
                <w:szCs w:val="20"/>
                <w:vertAlign w:val="subscript"/>
              </w:rPr>
              <w:t>∆</w:t>
            </w:r>
          </w:p>
          <w:p w14:paraId="416E4554" w14:textId="77777777" w:rsidR="00DE52E0" w:rsidRPr="00DE52E0" w:rsidRDefault="00DE52E0" w:rsidP="00DE52E0">
            <w:pPr>
              <w:numPr>
                <w:ilvl w:val="2"/>
                <w:numId w:val="47"/>
              </w:numPr>
              <w:overflowPunct w:val="0"/>
              <w:autoSpaceDE w:val="0"/>
              <w:autoSpaceDN w:val="0"/>
              <w:adjustRightInd w:val="0"/>
              <w:spacing w:beforeLines="50" w:before="120" w:afterLines="50" w:after="120"/>
              <w:jc w:val="both"/>
              <w:rPr>
                <w:rFonts w:eastAsia="SimSun" w:cs="Times New Roman"/>
                <w:szCs w:val="20"/>
              </w:rPr>
            </w:pPr>
            <w:r w:rsidRPr="00DE52E0">
              <w:rPr>
                <w:rFonts w:eastAsia="SimSun" w:cs="Times New Roman"/>
                <w:szCs w:val="20"/>
              </w:rPr>
              <w:t>One SSB is available during T</w:t>
            </w:r>
            <w:r w:rsidRPr="00DE52E0">
              <w:rPr>
                <w:rFonts w:eastAsia="SimSun" w:cs="Times New Roman"/>
                <w:szCs w:val="20"/>
                <w:vertAlign w:val="subscript"/>
              </w:rPr>
              <w:t>IU</w:t>
            </w:r>
          </w:p>
          <w:p w14:paraId="2E564EBB" w14:textId="77777777" w:rsidR="00DE52E0" w:rsidRPr="00DE52E0" w:rsidRDefault="00DE52E0" w:rsidP="00DE52E0"/>
        </w:tc>
      </w:tr>
    </w:tbl>
    <w:p w14:paraId="49692E29" w14:textId="77777777" w:rsidR="00DE52E0" w:rsidRDefault="00DE52E0" w:rsidP="00DE52E0">
      <w:pPr>
        <w:rPr>
          <w:lang w:val="en-US"/>
        </w:rPr>
      </w:pPr>
    </w:p>
    <w:p w14:paraId="140BF98F" w14:textId="281277B2" w:rsidR="00DE52E0" w:rsidRDefault="00DE52E0" w:rsidP="00DE52E0">
      <w:pPr>
        <w:rPr>
          <w:lang w:val="en-US"/>
        </w:rPr>
      </w:pPr>
      <w:r>
        <w:rPr>
          <w:lang w:val="en-US"/>
        </w:rPr>
        <w:t xml:space="preserve">First of all it is necessary to discuss whether HD-FDD has impacts on NR-Handover. The differences between HD-FDD and FDD arise in scenarios where a collision between DL and UL operations in the UE side takes place, which will cause the UE to bypass one of the operations according to the collision rules. Some of those impact UE requirements and procedures. </w:t>
      </w:r>
    </w:p>
    <w:p w14:paraId="40AC537B" w14:textId="19F3FD79" w:rsidR="00DE52E0" w:rsidRDefault="00DE52E0" w:rsidP="00DE52E0">
      <w:pPr>
        <w:rPr>
          <w:lang w:val="en-US"/>
        </w:rPr>
      </w:pPr>
      <w:r>
        <w:rPr>
          <w:lang w:val="en-US"/>
        </w:rPr>
        <w:t xml:space="preserve">However, from handover point of view, the fundamental requirements are “interruption time” and “handover delay” (and both are intertwined). The interruption time corresponds to the interval between the UE leaving the source cell and the UE resuming connection with the target cell (execution phase). During execution phase, the UE has left the source cell, and therefore, no UL activities are expected, as UE is synchronizing (and measuring in certain scenarios) towards the target cell. Therefore, HD-FDD has no impact in handover requirements, as there are no collisions during the execution of handover. </w:t>
      </w:r>
    </w:p>
    <w:p w14:paraId="27078F91" w14:textId="744B5B7C" w:rsidR="00DE52E0" w:rsidRDefault="00DE52E0" w:rsidP="00DE52E0">
      <w:pPr>
        <w:rPr>
          <w:lang w:val="en-US"/>
        </w:rPr>
      </w:pPr>
      <w:r>
        <w:rPr>
          <w:lang w:val="en-US"/>
        </w:rPr>
        <w:t>This is valid also for CHO triggered by time or location based events. The exception to this rule would be the soft satellite switching operation. In this scenario, the UE is expected to start measuring the neighbor satellite while maintaining the activity towards the source satellite. In this case there are more scenarios where UL and DL activities may collide at the UE side. The soft satellite switching is already riddled with several uncertainties and scheduling restrictions, in special for VSAT UEs. Therefore, it is a procedure that should be enhanced.</w:t>
      </w:r>
    </w:p>
    <w:p w14:paraId="78F64060" w14:textId="4BC7E130" w:rsidR="00DE52E0" w:rsidRDefault="00DE52E0" w:rsidP="00DE52E0">
      <w:pPr>
        <w:pStyle w:val="RAN4proposal"/>
        <w:rPr>
          <w:lang w:val="en-US"/>
        </w:rPr>
      </w:pPr>
      <w:bookmarkStart w:id="4" w:name="_Toc213422200"/>
      <w:r>
        <w:rPr>
          <w:lang w:val="en-US"/>
        </w:rPr>
        <w:t>HD-FDD operation has no impact on NR Handover, Conditional Handover or Hard Satellite switching.</w:t>
      </w:r>
      <w:bookmarkEnd w:id="4"/>
      <w:r>
        <w:rPr>
          <w:lang w:val="en-US"/>
        </w:rPr>
        <w:t xml:space="preserve">  </w:t>
      </w:r>
    </w:p>
    <w:p w14:paraId="53A96FBB" w14:textId="38530CC0" w:rsidR="00DE52E0" w:rsidRDefault="00F6472A" w:rsidP="00F6472A">
      <w:pPr>
        <w:pStyle w:val="RAN4observation0"/>
        <w:rPr>
          <w:lang w:val="en-US"/>
        </w:rPr>
      </w:pPr>
      <w:bookmarkStart w:id="5" w:name="_Toc213422201"/>
      <w:r>
        <w:rPr>
          <w:lang w:val="en-US"/>
        </w:rPr>
        <w:t>More time is needed to discuss the Soft Satellite Switching Case.</w:t>
      </w:r>
      <w:bookmarkEnd w:id="5"/>
      <w:r>
        <w:rPr>
          <w:lang w:val="en-US"/>
        </w:rPr>
        <w:t xml:space="preserve"> </w:t>
      </w:r>
    </w:p>
    <w:p w14:paraId="1A7F8775" w14:textId="77777777" w:rsidR="00DE52E0" w:rsidRPr="00DE52E0" w:rsidRDefault="00DE52E0" w:rsidP="00DE52E0">
      <w:pPr>
        <w:rPr>
          <w:lang w:val="en-US"/>
        </w:rPr>
      </w:pPr>
    </w:p>
    <w:p w14:paraId="4735C1C9" w14:textId="4A58A25D" w:rsidR="00DE52E0" w:rsidRDefault="00DE52E0" w:rsidP="00DE52E0">
      <w:pPr>
        <w:pStyle w:val="RAN4H3"/>
        <w:rPr>
          <w:lang w:val="en-US"/>
        </w:rPr>
      </w:pPr>
      <w:r>
        <w:rPr>
          <w:lang w:val="en-US"/>
        </w:rPr>
        <w:t>Minimization of scheduling restrictions</w:t>
      </w:r>
    </w:p>
    <w:p w14:paraId="3F69015E" w14:textId="77777777" w:rsidR="00DE52E0" w:rsidRDefault="00DE52E0" w:rsidP="00DE52E0">
      <w:pPr>
        <w:pStyle w:val="RAN4H3"/>
        <w:numPr>
          <w:ilvl w:val="0"/>
          <w:numId w:val="0"/>
        </w:numPr>
        <w:rPr>
          <w:lang w:val="en-US"/>
        </w:rPr>
      </w:pPr>
    </w:p>
    <w:p w14:paraId="42BED466" w14:textId="569C5A67" w:rsidR="00DE52E0" w:rsidRDefault="00DE52E0" w:rsidP="00DE52E0">
      <w:pPr>
        <w:rPr>
          <w:lang w:val="en-US"/>
        </w:rPr>
      </w:pPr>
      <w:r>
        <w:rPr>
          <w:lang w:val="en-US"/>
        </w:rPr>
        <w:lastRenderedPageBreak/>
        <w:t xml:space="preserve">For several of the collision handlings identified between UL and DL, the problem can be drastically mitigated if the location of the UE or the TA estimation is reported to the networ, as this allows for more accurate measurement settings by the NW. Although this has been set as an optional feature for RedCap (and regular NR NTN) devices, Ku band devices tend to be more complex in their implementation. Besides, the Ku band design and specificities already hamper the UE with significant overhead during mobility procedures (where there is significant scheduling interruption/restriction) in special related to satellite switching and inter-satellite HO. The “duty cycle” is further restricted in a HD-FDD operation. Therefore, it might be beneficial for the Ku Band UEs to support TA estimation. </w:t>
      </w:r>
    </w:p>
    <w:p w14:paraId="2DE733EF" w14:textId="77777777" w:rsidR="00DE52E0" w:rsidRPr="005E17E4" w:rsidRDefault="00DE52E0" w:rsidP="00DE52E0">
      <w:pPr>
        <w:pStyle w:val="RAN4proposal"/>
        <w:rPr>
          <w:lang w:val="en-US"/>
        </w:rPr>
      </w:pPr>
      <w:bookmarkStart w:id="6" w:name="_Toc213422202"/>
      <w:r>
        <w:rPr>
          <w:lang w:val="en-US"/>
        </w:rPr>
        <w:t>RAN4 to discuss recommending to RAN1 that  TA reporting should become a mandatory feature for Ku Bands supporting HD-FDD.</w:t>
      </w:r>
      <w:bookmarkEnd w:id="6"/>
      <w:r>
        <w:rPr>
          <w:lang w:val="en-US"/>
        </w:rPr>
        <w:t xml:space="preserve"> </w:t>
      </w:r>
    </w:p>
    <w:p w14:paraId="19C01A5D" w14:textId="77777777" w:rsidR="00DE52E0" w:rsidRDefault="00DE52E0" w:rsidP="00DE52E0">
      <w:pPr>
        <w:rPr>
          <w:lang w:val="en-US"/>
        </w:rPr>
      </w:pPr>
      <w:r>
        <w:rPr>
          <w:lang w:val="en-US"/>
        </w:rPr>
        <w:t xml:space="preserve">In regard of mobility scenarios, where HD-FDD may cause scheduling restrictions or delay in measurements (or cause the measurement requirements to not be applicable due to collisions between SMTC and UL transmissions), RAN4 shall look for enhancements in gap-less intra-satellite measurement to apply meaningful requirements and measurement procedures that can coexist with UL transmissions and HD-FDD operation. </w:t>
      </w:r>
    </w:p>
    <w:p w14:paraId="79C020A6" w14:textId="77777777" w:rsidR="00DE52E0" w:rsidRDefault="00DE52E0" w:rsidP="00DE52E0">
      <w:pPr>
        <w:pStyle w:val="RAN4proposal"/>
        <w:rPr>
          <w:lang w:val="en-US"/>
        </w:rPr>
      </w:pPr>
      <w:bookmarkStart w:id="7" w:name="_Toc213422203"/>
      <w:r>
        <w:rPr>
          <w:lang w:val="en-US"/>
        </w:rPr>
        <w:t>RAN4 to study potential enhancements in intra-satellite measurements to support mobility measurements in HD-FDD mode.</w:t>
      </w:r>
      <w:bookmarkEnd w:id="7"/>
      <w:r>
        <w:rPr>
          <w:lang w:val="en-US"/>
        </w:rPr>
        <w:t xml:space="preserve"> </w:t>
      </w:r>
    </w:p>
    <w:p w14:paraId="16AE960B" w14:textId="4DE78735" w:rsidR="00DE52E0" w:rsidRDefault="00DE52E0" w:rsidP="00DE52E0">
      <w:pPr>
        <w:pStyle w:val="RAN4H2"/>
        <w:rPr>
          <w:lang w:val="en-US"/>
        </w:rPr>
      </w:pPr>
      <w:r>
        <w:rPr>
          <w:lang w:val="en-US"/>
        </w:rPr>
        <w:t>Other RRM impact due to HD-FDD</w:t>
      </w:r>
    </w:p>
    <w:p w14:paraId="1F9A521B" w14:textId="19F8112E" w:rsidR="00DE52E0" w:rsidRPr="00DE52E0" w:rsidRDefault="00DE52E0" w:rsidP="00DE52E0">
      <w:pPr>
        <w:rPr>
          <w:lang w:val="en-US"/>
        </w:rPr>
      </w:pPr>
      <w:r>
        <w:rPr>
          <w:lang w:val="en-US"/>
        </w:rPr>
        <w:t>In The WF, RAN4 has agreed to discuss potential impact of HD-FDD operation in other RAN4 requirements</w:t>
      </w:r>
    </w:p>
    <w:tbl>
      <w:tblPr>
        <w:tblStyle w:val="TableGrid"/>
        <w:tblW w:w="0" w:type="auto"/>
        <w:tblLook w:val="04A0" w:firstRow="1" w:lastRow="0" w:firstColumn="1" w:lastColumn="0" w:noHBand="0" w:noVBand="1"/>
      </w:tblPr>
      <w:tblGrid>
        <w:gridCol w:w="9617"/>
      </w:tblGrid>
      <w:tr w:rsidR="00DE52E0" w14:paraId="6DB2A596" w14:textId="77777777" w:rsidTr="00DE52E0">
        <w:tc>
          <w:tcPr>
            <w:tcW w:w="9617" w:type="dxa"/>
          </w:tcPr>
          <w:p w14:paraId="1D2AD5B8" w14:textId="77777777" w:rsidR="00DE52E0" w:rsidRPr="00DE52E0" w:rsidRDefault="00DE52E0" w:rsidP="00DE52E0">
            <w:pPr>
              <w:rPr>
                <w:lang w:val="en-US"/>
              </w:rPr>
            </w:pPr>
            <w:r w:rsidRPr="00DE52E0">
              <w:rPr>
                <w:lang w:val="en-US"/>
              </w:rPr>
              <w:t>Issue 2-1-2/4/6/7: other RRM requirement impact due to HD-FDD</w:t>
            </w:r>
          </w:p>
          <w:p w14:paraId="0F55C6DE" w14:textId="77777777" w:rsidR="00DE52E0" w:rsidRPr="00DE52E0" w:rsidRDefault="00DE52E0" w:rsidP="00DE52E0">
            <w:pPr>
              <w:rPr>
                <w:bCs/>
              </w:rPr>
            </w:pPr>
            <w:r w:rsidRPr="00DE52E0">
              <w:t xml:space="preserve">WayForward </w:t>
            </w:r>
          </w:p>
          <w:p w14:paraId="68BAF003" w14:textId="77777777" w:rsidR="00DE52E0" w:rsidRPr="00DE52E0" w:rsidRDefault="00DE52E0" w:rsidP="00DE52E0">
            <w:pPr>
              <w:numPr>
                <w:ilvl w:val="0"/>
                <w:numId w:val="48"/>
              </w:numPr>
              <w:rPr>
                <w:bCs/>
              </w:rPr>
            </w:pPr>
            <w:r w:rsidRPr="00DE52E0">
              <w:rPr>
                <w:bCs/>
              </w:rPr>
              <w:t>RAN4 to further discuss if any RRM requirement impact due to HD-FDD for the following aspects</w:t>
            </w:r>
          </w:p>
          <w:p w14:paraId="66969A39" w14:textId="77777777" w:rsidR="00DE52E0" w:rsidRPr="00DE52E0" w:rsidRDefault="00DE52E0" w:rsidP="00DE52E0">
            <w:pPr>
              <w:numPr>
                <w:ilvl w:val="1"/>
                <w:numId w:val="48"/>
              </w:numPr>
              <w:rPr>
                <w:bCs/>
              </w:rPr>
            </w:pPr>
            <w:r w:rsidRPr="00DE52E0">
              <w:rPr>
                <w:bCs/>
              </w:rPr>
              <w:t>Maximum interruption in paging reception</w:t>
            </w:r>
          </w:p>
          <w:p w14:paraId="3AA77591" w14:textId="77777777" w:rsidR="00DE52E0" w:rsidRPr="00DE52E0" w:rsidRDefault="00DE52E0" w:rsidP="00DE52E0">
            <w:pPr>
              <w:numPr>
                <w:ilvl w:val="1"/>
                <w:numId w:val="48"/>
              </w:numPr>
              <w:rPr>
                <w:bCs/>
              </w:rPr>
            </w:pPr>
            <w:r w:rsidRPr="00DE52E0">
              <w:rPr>
                <w:bCs/>
              </w:rPr>
              <w:t>initial access/random access</w:t>
            </w:r>
          </w:p>
          <w:p w14:paraId="455614FE" w14:textId="77777777" w:rsidR="00DE52E0" w:rsidRPr="00DE52E0" w:rsidRDefault="00DE52E0" w:rsidP="00DE52E0">
            <w:pPr>
              <w:numPr>
                <w:ilvl w:val="1"/>
                <w:numId w:val="48"/>
              </w:numPr>
              <w:rPr>
                <w:bCs/>
              </w:rPr>
            </w:pPr>
            <w:r w:rsidRPr="00DE52E0">
              <w:rPr>
                <w:bCs/>
              </w:rPr>
              <w:t>inter and/or intra-measurement requirement</w:t>
            </w:r>
          </w:p>
          <w:p w14:paraId="12701B89" w14:textId="77777777" w:rsidR="00DE52E0" w:rsidRPr="00DE52E0" w:rsidRDefault="00DE52E0" w:rsidP="00DE52E0">
            <w:pPr>
              <w:numPr>
                <w:ilvl w:val="1"/>
                <w:numId w:val="48"/>
              </w:numPr>
              <w:rPr>
                <w:bCs/>
              </w:rPr>
            </w:pPr>
            <w:r w:rsidRPr="00DE52E0">
              <w:rPr>
                <w:bCs/>
              </w:rPr>
              <w:t xml:space="preserve">scheduling availability </w:t>
            </w:r>
          </w:p>
          <w:p w14:paraId="32046565" w14:textId="77777777" w:rsidR="00DE52E0" w:rsidRDefault="00DE52E0" w:rsidP="00DE52E0">
            <w:pPr>
              <w:rPr>
                <w:lang w:val="en-US"/>
              </w:rPr>
            </w:pPr>
          </w:p>
        </w:tc>
      </w:tr>
    </w:tbl>
    <w:p w14:paraId="58627D57" w14:textId="77777777" w:rsidR="00DE52E0" w:rsidRDefault="00DE52E0" w:rsidP="00DE52E0">
      <w:pPr>
        <w:rPr>
          <w:lang w:val="en-US"/>
        </w:rPr>
      </w:pPr>
    </w:p>
    <w:p w14:paraId="54C25DEA" w14:textId="1AEB99D9" w:rsidR="00DE52E0" w:rsidRDefault="00DE52E0" w:rsidP="00DE52E0">
      <w:pPr>
        <w:rPr>
          <w:lang w:val="en-US"/>
        </w:rPr>
      </w:pPr>
      <w:r>
        <w:rPr>
          <w:lang w:val="en-US"/>
        </w:rPr>
        <w:t xml:space="preserve">It is our understanding that: scheduling availability and maximum interruption in paging reception, are consequence of how the collision rules are handled in HD-FDD. Therefore, they shall not be discussed separately, but after RAN4 has confirmed the reuse of all RedCap collision rules and any other additional rules implemented during the discussions in this WI.  </w:t>
      </w:r>
    </w:p>
    <w:p w14:paraId="6DFF1C41" w14:textId="605AE320" w:rsidR="00DE52E0" w:rsidRDefault="00DE52E0" w:rsidP="00DE52E0">
      <w:pPr>
        <w:rPr>
          <w:lang w:val="en-US"/>
        </w:rPr>
      </w:pPr>
      <w:r>
        <w:rPr>
          <w:lang w:val="en-US"/>
        </w:rPr>
        <w:t xml:space="preserve">Initial Access and random access procedures are not impacted by HD-FDD as it has been agreed that this is a high priority procedure at the UE side. </w:t>
      </w:r>
    </w:p>
    <w:p w14:paraId="2D3DCFCD" w14:textId="665E94D6" w:rsidR="00DE52E0" w:rsidRPr="00DE52E0" w:rsidRDefault="00DE52E0" w:rsidP="00DE52E0">
      <w:pPr>
        <w:rPr>
          <w:lang w:val="en-US"/>
        </w:rPr>
      </w:pPr>
      <w:r>
        <w:rPr>
          <w:lang w:val="en-US"/>
        </w:rPr>
        <w:t xml:space="preserve">Finally, inter- and intra-frequency measurement procedures and requirements are impacted by HD-FDD, but those were discussed in the previous section of this document and shall be discussed separately from the other requirements. </w:t>
      </w:r>
    </w:p>
    <w:p w14:paraId="1309451F" w14:textId="77777777" w:rsidR="00A41906" w:rsidRPr="00A21E4A" w:rsidRDefault="00A41906" w:rsidP="00A21E4A">
      <w:pPr>
        <w:rPr>
          <w:lang w:val="en-US"/>
        </w:rPr>
      </w:pPr>
    </w:p>
    <w:p w14:paraId="21D3CC79" w14:textId="77777777" w:rsidR="00A21E4A" w:rsidRDefault="00A21E4A" w:rsidP="00A21E4A">
      <w:pPr>
        <w:rPr>
          <w:lang w:val="en-US"/>
        </w:rPr>
      </w:pPr>
    </w:p>
    <w:p w14:paraId="36430476" w14:textId="77777777" w:rsidR="00A21E4A" w:rsidRPr="00A21E4A" w:rsidRDefault="00A21E4A" w:rsidP="00A21E4A">
      <w:pPr>
        <w:rPr>
          <w:lang w:val="en-US"/>
        </w:rPr>
      </w:pPr>
    </w:p>
    <w:p w14:paraId="0F32B173" w14:textId="77777777" w:rsidR="00CD7492" w:rsidRPr="008F786B" w:rsidRDefault="00CD7492" w:rsidP="00A37002">
      <w:pPr>
        <w:pStyle w:val="RAN4H1"/>
      </w:pPr>
      <w:bookmarkStart w:id="8" w:name="_Toc116995848"/>
      <w:r w:rsidRPr="008F786B">
        <w:t>Conclusion</w:t>
      </w:r>
      <w:bookmarkEnd w:id="8"/>
    </w:p>
    <w:p w14:paraId="52EFC401" w14:textId="59A2B408" w:rsidR="00381F95" w:rsidRPr="00E43FA7" w:rsidRDefault="002B6B92" w:rsidP="00936159">
      <w:r w:rsidRPr="002B6B92">
        <w:t xml:space="preserve">In this paper we discussed the impact of </w:t>
      </w:r>
      <w:r w:rsidR="005E17E4">
        <w:t>introducing HD-FDD for Ku band with FR1 numerology. Our proposals for this topic were provided as follows:</w:t>
      </w:r>
    </w:p>
    <w:p w14:paraId="5B1023E0" w14:textId="77777777" w:rsidR="00E43FA7"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13422199" w:history="1">
        <w:r w:rsidR="00E43FA7" w:rsidRPr="000A1923">
          <w:rPr>
            <w:rStyle w:val="Hyperlink"/>
            <w:noProof/>
            <w:lang w:val="en-US"/>
          </w:rPr>
          <w:t>Proposal 1: HD-FDD has no impact on UE UL Transmit Timing Accuracy.</w:t>
        </w:r>
      </w:hyperlink>
    </w:p>
    <w:p w14:paraId="153D1D32" w14:textId="77777777" w:rsidR="00E43FA7" w:rsidRDefault="00E43FA7">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3422200" w:history="1">
        <w:r w:rsidRPr="000A1923">
          <w:rPr>
            <w:rStyle w:val="Hyperlink"/>
            <w:noProof/>
            <w:lang w:val="en-US"/>
          </w:rPr>
          <w:t>Proposal 2: HD-FDD operation has no impact on NR Handover, Conditional Handover or Hard Satellite switching.</w:t>
        </w:r>
      </w:hyperlink>
    </w:p>
    <w:p w14:paraId="6495D251" w14:textId="77777777" w:rsidR="00E43FA7" w:rsidRDefault="00E43FA7">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13422201" w:history="1">
        <w:r w:rsidRPr="000A1923">
          <w:rPr>
            <w:rStyle w:val="Hyperlink"/>
            <w:b/>
            <w:noProof/>
            <w:lang w:val="en-US"/>
          </w:rPr>
          <w:t>Observation 1:</w:t>
        </w:r>
        <w:r w:rsidRPr="000A1923">
          <w:rPr>
            <w:rStyle w:val="Hyperlink"/>
            <w:noProof/>
            <w:lang w:val="en-US"/>
          </w:rPr>
          <w:t xml:space="preserve"> More time is needed to discuss the Soft Satellite Switching Case.</w:t>
        </w:r>
      </w:hyperlink>
    </w:p>
    <w:p w14:paraId="62B24E62" w14:textId="77777777" w:rsidR="00E43FA7" w:rsidRDefault="00E43FA7">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3422202" w:history="1">
        <w:r w:rsidRPr="000A1923">
          <w:rPr>
            <w:rStyle w:val="Hyperlink"/>
            <w:noProof/>
            <w:lang w:val="en-US"/>
          </w:rPr>
          <w:t>Proposal 3: RAN4 to discuss recommending to RAN1 that  TA reporting should become a mandatory feature for Ku Bands supporting HD-FDD.</w:t>
        </w:r>
      </w:hyperlink>
    </w:p>
    <w:p w14:paraId="6D75E116" w14:textId="77777777" w:rsidR="00E43FA7" w:rsidRDefault="00E43FA7">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3422203" w:history="1">
        <w:r w:rsidRPr="000A1923">
          <w:rPr>
            <w:rStyle w:val="Hyperlink"/>
            <w:noProof/>
            <w:lang w:val="en-US"/>
          </w:rPr>
          <w:t>Proposal 4: RAN4 to study potential enhancements in intra-satellite measurements to support mobility measurements in HD-FDD mode.</w:t>
        </w:r>
      </w:hyperlink>
    </w:p>
    <w:p w14:paraId="7DF8C3E5" w14:textId="5E4900E0" w:rsidR="00847264" w:rsidRPr="008F786B" w:rsidRDefault="00A4355E" w:rsidP="008C39F7">
      <w:r w:rsidRPr="008F786B">
        <w:fldChar w:fldCharType="end"/>
      </w:r>
      <w:bookmarkStart w:id="9" w:name="_Toc116995849"/>
    </w:p>
    <w:p w14:paraId="4B8014E9" w14:textId="77777777" w:rsidR="003B659E" w:rsidRPr="008F786B" w:rsidRDefault="003B659E" w:rsidP="0060543D">
      <w:pPr>
        <w:pStyle w:val="RAN4H1"/>
        <w:numPr>
          <w:ilvl w:val="0"/>
          <w:numId w:val="0"/>
        </w:numPr>
        <w:ind w:left="360" w:hanging="360"/>
      </w:pPr>
      <w:r w:rsidRPr="008F786B">
        <w:t>References</w:t>
      </w:r>
      <w:bookmarkEnd w:id="9"/>
    </w:p>
    <w:p w14:paraId="0EB70073" w14:textId="6ED35754" w:rsidR="00E43BF9" w:rsidRDefault="00123CFF" w:rsidP="007F12FA">
      <w:pPr>
        <w:pStyle w:val="ListParagraph"/>
        <w:numPr>
          <w:ilvl w:val="0"/>
          <w:numId w:val="21"/>
        </w:numPr>
      </w:pPr>
      <w:bookmarkStart w:id="10" w:name="_Ref114500673"/>
      <w:bookmarkStart w:id="11" w:name="_Ref210295558"/>
      <w:bookmarkStart w:id="12" w:name="_Ref178945346"/>
      <w:bookmarkEnd w:id="10"/>
      <w:r w:rsidRPr="00123CFF">
        <w:t>R4-2512146</w:t>
      </w:r>
      <w:r w:rsidR="00640B91">
        <w:t xml:space="preserve">, </w:t>
      </w:r>
      <w:r w:rsidRPr="00123CFF">
        <w:t>WF on RRM requirements for NR_NTN_Ph3_Part1</w:t>
      </w:r>
      <w:r w:rsidR="00640B91" w:rsidRPr="00640B91">
        <w:t>, RAN WG</w:t>
      </w:r>
      <w:r>
        <w:t>4</w:t>
      </w:r>
      <w:r w:rsidR="00640B91" w:rsidRPr="00640B91">
        <w:t xml:space="preserve"> Meeting #1</w:t>
      </w:r>
      <w:r>
        <w:t>16</w:t>
      </w:r>
      <w:r w:rsidR="00640B91">
        <w:t xml:space="preserve">, </w:t>
      </w:r>
      <w:r w:rsidR="00640B91" w:rsidRPr="00640B91">
        <w:t>Bengaluru, India, 25th - 29thAugust</w:t>
      </w:r>
      <w:r w:rsidR="00640B91">
        <w:t>,</w:t>
      </w:r>
      <w:r w:rsidR="00640B91" w:rsidRPr="00640B91">
        <w:t xml:space="preserve"> 2025</w:t>
      </w:r>
      <w:bookmarkEnd w:id="11"/>
      <w:bookmarkEnd w:id="12"/>
    </w:p>
    <w:p w14:paraId="3280A16C" w14:textId="015D89A7" w:rsidR="007F12FA" w:rsidRDefault="007F12FA" w:rsidP="007F12FA">
      <w:pPr>
        <w:pStyle w:val="ListParagraph"/>
        <w:numPr>
          <w:ilvl w:val="0"/>
          <w:numId w:val="21"/>
        </w:numPr>
      </w:pPr>
      <w:bookmarkStart w:id="13" w:name="_Ref213405183"/>
      <w:r w:rsidRPr="007F12FA">
        <w:t>R4-2515082</w:t>
      </w:r>
      <w:r>
        <w:t xml:space="preserve">, </w:t>
      </w:r>
      <w:r w:rsidRPr="007F12FA">
        <w:t>Way Forward for [116bis][330] NR_IoT_NTN_Ph2_Part2</w:t>
      </w:r>
      <w:r>
        <w:t xml:space="preserve">, </w:t>
      </w:r>
      <w:r w:rsidRPr="007F12FA">
        <w:t>MediaTek</w:t>
      </w:r>
      <w:r>
        <w:t xml:space="preserve">, RAN WG4 Meeting #116bis, </w:t>
      </w:r>
      <w:r w:rsidRPr="007F12FA">
        <w:t>Prague, Czech Republic, Oct 13 – 17, 2025</w:t>
      </w:r>
      <w:bookmarkEnd w:id="13"/>
    </w:p>
    <w:p w14:paraId="3F0D00D0" w14:textId="77777777" w:rsidR="009E3C7C" w:rsidRDefault="009E3C7C" w:rsidP="00E43BF9">
      <w:pPr>
        <w:ind w:right="-22"/>
      </w:pPr>
    </w:p>
    <w:p w14:paraId="1CDC344A" w14:textId="77777777" w:rsidR="009E3C7C" w:rsidRDefault="009E3C7C" w:rsidP="00E43BF9">
      <w:pPr>
        <w:ind w:right="-22"/>
      </w:pPr>
    </w:p>
    <w:p w14:paraId="06B55B0A" w14:textId="77777777" w:rsidR="009E3C7C" w:rsidRPr="008F786B" w:rsidRDefault="009E3C7C" w:rsidP="00E43BF9">
      <w:pPr>
        <w:ind w:right="-22"/>
      </w:pPr>
    </w:p>
    <w:sectPr w:rsidR="009E3C7C"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81E2A" w14:textId="77777777" w:rsidR="00C80ADD" w:rsidRDefault="00C80ADD" w:rsidP="00001C9B">
      <w:pPr>
        <w:spacing w:after="0" w:line="240" w:lineRule="auto"/>
      </w:pPr>
      <w:r>
        <w:separator/>
      </w:r>
    </w:p>
  </w:endnote>
  <w:endnote w:type="continuationSeparator" w:id="0">
    <w:p w14:paraId="236F6D9D" w14:textId="77777777" w:rsidR="00C80ADD" w:rsidRDefault="00C80ADD" w:rsidP="00001C9B">
      <w:pPr>
        <w:spacing w:after="0" w:line="240" w:lineRule="auto"/>
      </w:pPr>
      <w:r>
        <w:continuationSeparator/>
      </w:r>
    </w:p>
  </w:endnote>
  <w:endnote w:type="continuationNotice" w:id="1">
    <w:p w14:paraId="4478B09E" w14:textId="77777777" w:rsidR="00C80ADD" w:rsidRDefault="00C80A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angSong">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tka Text">
    <w:panose1 w:val="00000000000000000000"/>
    <w:charset w:val="00"/>
    <w:family w:val="auto"/>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35058" w14:textId="77777777" w:rsidR="00C80ADD" w:rsidRDefault="00C80ADD" w:rsidP="00001C9B">
      <w:pPr>
        <w:spacing w:after="0" w:line="240" w:lineRule="auto"/>
      </w:pPr>
      <w:r>
        <w:separator/>
      </w:r>
    </w:p>
  </w:footnote>
  <w:footnote w:type="continuationSeparator" w:id="0">
    <w:p w14:paraId="53C7C57A" w14:textId="77777777" w:rsidR="00C80ADD" w:rsidRDefault="00C80ADD" w:rsidP="00001C9B">
      <w:pPr>
        <w:spacing w:after="0" w:line="240" w:lineRule="auto"/>
      </w:pPr>
      <w:r>
        <w:continuationSeparator/>
      </w:r>
    </w:p>
  </w:footnote>
  <w:footnote w:type="continuationNotice" w:id="1">
    <w:p w14:paraId="55346C7F" w14:textId="77777777" w:rsidR="00C80ADD" w:rsidRDefault="00C80A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232D"/>
    <w:multiLevelType w:val="hybridMultilevel"/>
    <w:tmpl w:val="4A867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B48A0"/>
    <w:multiLevelType w:val="multilevel"/>
    <w:tmpl w:val="04AB48A0"/>
    <w:lvl w:ilvl="0">
      <w:start w:val="1"/>
      <w:numFmt w:val="bullet"/>
      <w:lvlText w:val=""/>
      <w:lvlJc w:val="left"/>
      <w:pPr>
        <w:ind w:left="827" w:hanging="420"/>
      </w:pPr>
      <w:rPr>
        <w:rFonts w:ascii="Wingdings" w:hAnsi="Wingdings" w:hint="default"/>
      </w:rPr>
    </w:lvl>
    <w:lvl w:ilvl="1">
      <w:start w:val="1"/>
      <w:numFmt w:val="bullet"/>
      <w:lvlText w:val=""/>
      <w:lvlJc w:val="left"/>
      <w:pPr>
        <w:ind w:left="1247" w:hanging="420"/>
      </w:pPr>
      <w:rPr>
        <w:rFonts w:ascii="Wingdings" w:hAnsi="Wingdings" w:hint="default"/>
      </w:rPr>
    </w:lvl>
    <w:lvl w:ilvl="2">
      <w:start w:val="1"/>
      <w:numFmt w:val="bullet"/>
      <w:lvlText w:val=""/>
      <w:lvlJc w:val="left"/>
      <w:pPr>
        <w:ind w:left="1667" w:hanging="420"/>
      </w:pPr>
      <w:rPr>
        <w:rFonts w:ascii="Wingdings" w:hAnsi="Wingdings" w:hint="default"/>
      </w:rPr>
    </w:lvl>
    <w:lvl w:ilvl="3">
      <w:start w:val="1"/>
      <w:numFmt w:val="bullet"/>
      <w:lvlText w:val=""/>
      <w:lvlJc w:val="left"/>
      <w:pPr>
        <w:ind w:left="2087" w:hanging="420"/>
      </w:pPr>
      <w:rPr>
        <w:rFonts w:ascii="Wingdings" w:hAnsi="Wingdings" w:hint="default"/>
      </w:rPr>
    </w:lvl>
    <w:lvl w:ilvl="4">
      <w:start w:val="1"/>
      <w:numFmt w:val="bullet"/>
      <w:lvlText w:val=""/>
      <w:lvlJc w:val="left"/>
      <w:pPr>
        <w:ind w:left="2507" w:hanging="420"/>
      </w:pPr>
      <w:rPr>
        <w:rFonts w:ascii="Wingdings" w:hAnsi="Wingdings" w:hint="default"/>
      </w:rPr>
    </w:lvl>
    <w:lvl w:ilvl="5">
      <w:start w:val="1"/>
      <w:numFmt w:val="bullet"/>
      <w:lvlText w:val=""/>
      <w:lvlJc w:val="left"/>
      <w:pPr>
        <w:ind w:left="2927" w:hanging="420"/>
      </w:pPr>
      <w:rPr>
        <w:rFonts w:ascii="Wingdings" w:hAnsi="Wingdings" w:hint="default"/>
      </w:rPr>
    </w:lvl>
    <w:lvl w:ilvl="6">
      <w:start w:val="1"/>
      <w:numFmt w:val="bullet"/>
      <w:lvlText w:val=""/>
      <w:lvlJc w:val="left"/>
      <w:pPr>
        <w:ind w:left="3347" w:hanging="420"/>
      </w:pPr>
      <w:rPr>
        <w:rFonts w:ascii="Wingdings" w:hAnsi="Wingdings" w:hint="default"/>
      </w:rPr>
    </w:lvl>
    <w:lvl w:ilvl="7">
      <w:start w:val="1"/>
      <w:numFmt w:val="bullet"/>
      <w:lvlText w:val=""/>
      <w:lvlJc w:val="left"/>
      <w:pPr>
        <w:ind w:left="3767" w:hanging="420"/>
      </w:pPr>
      <w:rPr>
        <w:rFonts w:ascii="Wingdings" w:hAnsi="Wingdings" w:hint="default"/>
      </w:rPr>
    </w:lvl>
    <w:lvl w:ilvl="8">
      <w:start w:val="1"/>
      <w:numFmt w:val="bullet"/>
      <w:lvlText w:val=""/>
      <w:lvlJc w:val="left"/>
      <w:pPr>
        <w:ind w:left="4187" w:hanging="42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1B4A82"/>
    <w:multiLevelType w:val="multilevel"/>
    <w:tmpl w:val="161B4A8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A46595"/>
    <w:multiLevelType w:val="hybridMultilevel"/>
    <w:tmpl w:val="A8069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D4035"/>
    <w:multiLevelType w:val="multilevel"/>
    <w:tmpl w:val="39CD4035"/>
    <w:lvl w:ilvl="0">
      <w:start w:val="1"/>
      <w:numFmt w:val="bullet"/>
      <w:lvlText w:val="·"/>
      <w:lvlJc w:val="left"/>
      <w:pPr>
        <w:ind w:left="1140" w:hanging="420"/>
      </w:pPr>
      <w:rPr>
        <w:rFonts w:ascii="FangSong" w:eastAsia="FangSong" w:hAnsi="FangSong"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42AF0326"/>
    <w:multiLevelType w:val="hybridMultilevel"/>
    <w:tmpl w:val="810C0A70"/>
    <w:lvl w:ilvl="0" w:tplc="ED04734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257BA1"/>
    <w:multiLevelType w:val="multilevel"/>
    <w:tmpl w:val="5E25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SimSu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C863B2"/>
    <w:multiLevelType w:val="hybridMultilevel"/>
    <w:tmpl w:val="7BF86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5B77B56"/>
    <w:multiLevelType w:val="hybridMultilevel"/>
    <w:tmpl w:val="C8060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94E2C1A"/>
    <w:multiLevelType w:val="hybridMultilevel"/>
    <w:tmpl w:val="4CAA8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8728D4"/>
    <w:multiLevelType w:val="hybridMultilevel"/>
    <w:tmpl w:val="FC3E9620"/>
    <w:lvl w:ilvl="0" w:tplc="4CB2D78C">
      <w:start w:val="6"/>
      <w:numFmt w:val="bullet"/>
      <w:lvlText w:val="-"/>
      <w:lvlJc w:val="left"/>
      <w:pPr>
        <w:ind w:left="3936" w:hanging="420"/>
      </w:pPr>
      <w:rPr>
        <w:rFonts w:ascii="Times New Roman" w:eastAsia="SimSun" w:hAnsi="Times New Roman" w:cs="Times New Roman" w:hint="default"/>
      </w:rPr>
    </w:lvl>
    <w:lvl w:ilvl="1" w:tplc="04090003">
      <w:start w:val="1"/>
      <w:numFmt w:val="bullet"/>
      <w:lvlText w:val=""/>
      <w:lvlJc w:val="left"/>
      <w:pPr>
        <w:ind w:left="4356" w:hanging="420"/>
      </w:pPr>
      <w:rPr>
        <w:rFonts w:ascii="Wingdings" w:hAnsi="Wingdings" w:hint="default"/>
      </w:rPr>
    </w:lvl>
    <w:lvl w:ilvl="2" w:tplc="04090005">
      <w:start w:val="1"/>
      <w:numFmt w:val="bullet"/>
      <w:lvlText w:val=""/>
      <w:lvlJc w:val="left"/>
      <w:pPr>
        <w:ind w:left="4776" w:hanging="420"/>
      </w:pPr>
      <w:rPr>
        <w:rFonts w:ascii="Wingdings" w:hAnsi="Wingdings" w:hint="default"/>
      </w:rPr>
    </w:lvl>
    <w:lvl w:ilvl="3" w:tplc="04090001">
      <w:start w:val="1"/>
      <w:numFmt w:val="bullet"/>
      <w:lvlText w:val=""/>
      <w:lvlJc w:val="left"/>
      <w:pPr>
        <w:ind w:left="5196" w:hanging="420"/>
      </w:pPr>
      <w:rPr>
        <w:rFonts w:ascii="Wingdings" w:hAnsi="Wingdings" w:hint="default"/>
      </w:rPr>
    </w:lvl>
    <w:lvl w:ilvl="4" w:tplc="04090003">
      <w:start w:val="1"/>
      <w:numFmt w:val="bullet"/>
      <w:lvlText w:val=""/>
      <w:lvlJc w:val="left"/>
      <w:pPr>
        <w:ind w:left="5616" w:hanging="420"/>
      </w:pPr>
      <w:rPr>
        <w:rFonts w:ascii="Wingdings" w:hAnsi="Wingdings" w:hint="default"/>
      </w:rPr>
    </w:lvl>
    <w:lvl w:ilvl="5" w:tplc="04090005">
      <w:start w:val="1"/>
      <w:numFmt w:val="bullet"/>
      <w:lvlText w:val=""/>
      <w:lvlJc w:val="left"/>
      <w:pPr>
        <w:ind w:left="6036" w:hanging="420"/>
      </w:pPr>
      <w:rPr>
        <w:rFonts w:ascii="Wingdings" w:hAnsi="Wingdings" w:hint="default"/>
      </w:rPr>
    </w:lvl>
    <w:lvl w:ilvl="6" w:tplc="04090001">
      <w:start w:val="1"/>
      <w:numFmt w:val="bullet"/>
      <w:lvlText w:val=""/>
      <w:lvlJc w:val="left"/>
      <w:pPr>
        <w:ind w:left="6456" w:hanging="420"/>
      </w:pPr>
      <w:rPr>
        <w:rFonts w:ascii="Wingdings" w:hAnsi="Wingdings" w:hint="default"/>
      </w:rPr>
    </w:lvl>
    <w:lvl w:ilvl="7" w:tplc="04090003">
      <w:start w:val="1"/>
      <w:numFmt w:val="bullet"/>
      <w:lvlText w:val=""/>
      <w:lvlJc w:val="left"/>
      <w:pPr>
        <w:ind w:left="6876" w:hanging="420"/>
      </w:pPr>
      <w:rPr>
        <w:rFonts w:ascii="Wingdings" w:hAnsi="Wingdings" w:hint="default"/>
      </w:rPr>
    </w:lvl>
    <w:lvl w:ilvl="8" w:tplc="04090005">
      <w:start w:val="1"/>
      <w:numFmt w:val="bullet"/>
      <w:lvlText w:val=""/>
      <w:lvlJc w:val="left"/>
      <w:pPr>
        <w:ind w:left="7296" w:hanging="420"/>
      </w:pPr>
      <w:rPr>
        <w:rFonts w:ascii="Wingdings" w:hAnsi="Wingdings" w:hint="default"/>
      </w:rPr>
    </w:lvl>
  </w:abstractNum>
  <w:abstractNum w:abstractNumId="30" w15:restartNumberingAfterBreak="0">
    <w:nsid w:val="6A4F36C4"/>
    <w:multiLevelType w:val="hybridMultilevel"/>
    <w:tmpl w:val="9C248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19572C"/>
    <w:multiLevelType w:val="multilevel"/>
    <w:tmpl w:val="7719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3"/>
  </w:num>
  <w:num w:numId="2" w16cid:durableId="1469392472">
    <w:abstractNumId w:val="10"/>
  </w:num>
  <w:num w:numId="3" w16cid:durableId="1792749823">
    <w:abstractNumId w:val="17"/>
  </w:num>
  <w:num w:numId="4" w16cid:durableId="517735681">
    <w:abstractNumId w:val="9"/>
  </w:num>
  <w:num w:numId="5" w16cid:durableId="1142041724">
    <w:abstractNumId w:val="27"/>
  </w:num>
  <w:num w:numId="6" w16cid:durableId="80681869">
    <w:abstractNumId w:val="15"/>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5"/>
    <w:lvlOverride w:ilvl="0">
      <w:startOverride w:val="1"/>
    </w:lvlOverride>
  </w:num>
  <w:num w:numId="12" w16cid:durableId="122584543">
    <w:abstractNumId w:val="16"/>
    <w:lvlOverride w:ilvl="0">
      <w:startOverride w:val="1"/>
    </w:lvlOverride>
  </w:num>
  <w:num w:numId="13" w16cid:durableId="818807267">
    <w:abstractNumId w:val="15"/>
    <w:lvlOverride w:ilvl="0">
      <w:startOverride w:val="1"/>
    </w:lvlOverride>
  </w:num>
  <w:num w:numId="14" w16cid:durableId="883829348">
    <w:abstractNumId w:val="16"/>
    <w:lvlOverride w:ilvl="0">
      <w:startOverride w:val="1"/>
    </w:lvlOverride>
  </w:num>
  <w:num w:numId="15" w16cid:durableId="438372887">
    <w:abstractNumId w:val="34"/>
  </w:num>
  <w:num w:numId="16" w16cid:durableId="516113510">
    <w:abstractNumId w:val="8"/>
  </w:num>
  <w:num w:numId="17" w16cid:durableId="1456096507">
    <w:abstractNumId w:val="25"/>
  </w:num>
  <w:num w:numId="18" w16cid:durableId="1397970374">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0"/>
  </w:num>
  <w:num w:numId="22" w16cid:durableId="1938362445">
    <w:abstractNumId w:val="15"/>
    <w:lvlOverride w:ilvl="0">
      <w:startOverride w:val="1"/>
    </w:lvlOverride>
  </w:num>
  <w:num w:numId="23" w16cid:durableId="913515990">
    <w:abstractNumId w:val="16"/>
    <w:lvlOverride w:ilvl="0">
      <w:startOverride w:val="1"/>
    </w:lvlOverride>
  </w:num>
  <w:num w:numId="24" w16cid:durableId="978418003">
    <w:abstractNumId w:val="4"/>
  </w:num>
  <w:num w:numId="25" w16cid:durableId="143009612">
    <w:abstractNumId w:val="2"/>
  </w:num>
  <w:num w:numId="26" w16cid:durableId="212620654">
    <w:abstractNumId w:val="2"/>
    <w:lvlOverride w:ilvl="0">
      <w:startOverride w:val="1"/>
    </w:lvlOverride>
  </w:num>
  <w:num w:numId="27" w16cid:durableId="1140414542">
    <w:abstractNumId w:val="35"/>
  </w:num>
  <w:num w:numId="28" w16cid:durableId="2095668156">
    <w:abstractNumId w:val="6"/>
  </w:num>
  <w:num w:numId="29" w16cid:durableId="700278259">
    <w:abstractNumId w:val="30"/>
  </w:num>
  <w:num w:numId="30" w16cid:durableId="2133164022">
    <w:abstractNumId w:val="24"/>
  </w:num>
  <w:num w:numId="31" w16cid:durableId="386153439">
    <w:abstractNumId w:val="26"/>
  </w:num>
  <w:num w:numId="32" w16cid:durableId="1683899053">
    <w:abstractNumId w:val="11"/>
  </w:num>
  <w:num w:numId="33" w16cid:durableId="216363515">
    <w:abstractNumId w:val="13"/>
  </w:num>
  <w:num w:numId="34" w16cid:durableId="1934630209">
    <w:abstractNumId w:val="0"/>
  </w:num>
  <w:num w:numId="35" w16cid:durableId="280040905">
    <w:abstractNumId w:val="22"/>
  </w:num>
  <w:num w:numId="36" w16cid:durableId="563225620">
    <w:abstractNumId w:val="19"/>
  </w:num>
  <w:num w:numId="37" w16cid:durableId="1009793501">
    <w:abstractNumId w:val="29"/>
  </w:num>
  <w:num w:numId="38" w16cid:durableId="1900091252">
    <w:abstractNumId w:val="28"/>
  </w:num>
  <w:num w:numId="39" w16cid:durableId="918826668">
    <w:abstractNumId w:val="33"/>
  </w:num>
  <w:num w:numId="40" w16cid:durableId="961885565">
    <w:abstractNumId w:val="5"/>
  </w:num>
  <w:num w:numId="41" w16cid:durableId="1252856897">
    <w:abstractNumId w:val="18"/>
  </w:num>
  <w:num w:numId="42" w16cid:durableId="864052076">
    <w:abstractNumId w:val="1"/>
  </w:num>
  <w:num w:numId="43" w16cid:durableId="1223366847">
    <w:abstractNumId w:val="32"/>
  </w:num>
  <w:num w:numId="44" w16cid:durableId="384721642">
    <w:abstractNumId w:val="7"/>
  </w:num>
  <w:num w:numId="45" w16cid:durableId="1495416371">
    <w:abstractNumId w:val="31"/>
  </w:num>
  <w:num w:numId="46" w16cid:durableId="206650459">
    <w:abstractNumId w:val="12"/>
  </w:num>
  <w:num w:numId="47" w16cid:durableId="1823547212">
    <w:abstractNumId w:val="21"/>
  </w:num>
  <w:num w:numId="48" w16cid:durableId="46697136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oNotDisplayPageBoundari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5836F6"/>
    <w:rsid w:val="00001411"/>
    <w:rsid w:val="00001C9B"/>
    <w:rsid w:val="000040DC"/>
    <w:rsid w:val="00011784"/>
    <w:rsid w:val="000151EF"/>
    <w:rsid w:val="000239F5"/>
    <w:rsid w:val="00027118"/>
    <w:rsid w:val="00037101"/>
    <w:rsid w:val="00061256"/>
    <w:rsid w:val="00072CCA"/>
    <w:rsid w:val="000731AE"/>
    <w:rsid w:val="0007430D"/>
    <w:rsid w:val="0007601C"/>
    <w:rsid w:val="00081544"/>
    <w:rsid w:val="00085017"/>
    <w:rsid w:val="0008612A"/>
    <w:rsid w:val="00090E18"/>
    <w:rsid w:val="000A10BC"/>
    <w:rsid w:val="000A2ED5"/>
    <w:rsid w:val="000A7F53"/>
    <w:rsid w:val="000B0056"/>
    <w:rsid w:val="000B1AA4"/>
    <w:rsid w:val="000C2357"/>
    <w:rsid w:val="000C3C7B"/>
    <w:rsid w:val="000C3F10"/>
    <w:rsid w:val="000D0F93"/>
    <w:rsid w:val="000E6CA4"/>
    <w:rsid w:val="000E7ED3"/>
    <w:rsid w:val="001002DC"/>
    <w:rsid w:val="001058AB"/>
    <w:rsid w:val="00106416"/>
    <w:rsid w:val="00110481"/>
    <w:rsid w:val="0011052E"/>
    <w:rsid w:val="001113FD"/>
    <w:rsid w:val="001127C9"/>
    <w:rsid w:val="00114498"/>
    <w:rsid w:val="00115B88"/>
    <w:rsid w:val="00123CFF"/>
    <w:rsid w:val="00132F6A"/>
    <w:rsid w:val="00133913"/>
    <w:rsid w:val="00140221"/>
    <w:rsid w:val="00142A31"/>
    <w:rsid w:val="0014557E"/>
    <w:rsid w:val="00160307"/>
    <w:rsid w:val="00161913"/>
    <w:rsid w:val="00162327"/>
    <w:rsid w:val="001642FC"/>
    <w:rsid w:val="0016496B"/>
    <w:rsid w:val="00173E4B"/>
    <w:rsid w:val="001743E2"/>
    <w:rsid w:val="001745F8"/>
    <w:rsid w:val="00182687"/>
    <w:rsid w:val="001838CF"/>
    <w:rsid w:val="001868EE"/>
    <w:rsid w:val="00194AEC"/>
    <w:rsid w:val="001A3BA4"/>
    <w:rsid w:val="001A6D1F"/>
    <w:rsid w:val="001B1EA8"/>
    <w:rsid w:val="001C1636"/>
    <w:rsid w:val="001D6EB2"/>
    <w:rsid w:val="001E30F6"/>
    <w:rsid w:val="0020026A"/>
    <w:rsid w:val="0021018B"/>
    <w:rsid w:val="00216379"/>
    <w:rsid w:val="00217EE5"/>
    <w:rsid w:val="00225D10"/>
    <w:rsid w:val="002351D8"/>
    <w:rsid w:val="0023559D"/>
    <w:rsid w:val="00235F5C"/>
    <w:rsid w:val="00240E17"/>
    <w:rsid w:val="0024235F"/>
    <w:rsid w:val="002433E2"/>
    <w:rsid w:val="00257FA3"/>
    <w:rsid w:val="0027724B"/>
    <w:rsid w:val="00277B56"/>
    <w:rsid w:val="00277CB6"/>
    <w:rsid w:val="00281B89"/>
    <w:rsid w:val="00282A74"/>
    <w:rsid w:val="00283CEA"/>
    <w:rsid w:val="002849D4"/>
    <w:rsid w:val="002872A9"/>
    <w:rsid w:val="00290244"/>
    <w:rsid w:val="002909DC"/>
    <w:rsid w:val="00295E70"/>
    <w:rsid w:val="002969B6"/>
    <w:rsid w:val="002A19F5"/>
    <w:rsid w:val="002B4922"/>
    <w:rsid w:val="002B69F3"/>
    <w:rsid w:val="002B6B92"/>
    <w:rsid w:val="002C019B"/>
    <w:rsid w:val="002C0CD1"/>
    <w:rsid w:val="002C22C3"/>
    <w:rsid w:val="002C2D19"/>
    <w:rsid w:val="002C5A3A"/>
    <w:rsid w:val="002D10FA"/>
    <w:rsid w:val="002D4C55"/>
    <w:rsid w:val="002E411A"/>
    <w:rsid w:val="002E6DED"/>
    <w:rsid w:val="002F0407"/>
    <w:rsid w:val="00300956"/>
    <w:rsid w:val="00307EE8"/>
    <w:rsid w:val="00317187"/>
    <w:rsid w:val="0032499A"/>
    <w:rsid w:val="0033366B"/>
    <w:rsid w:val="003341F7"/>
    <w:rsid w:val="00347FEC"/>
    <w:rsid w:val="003509DF"/>
    <w:rsid w:val="00355CA8"/>
    <w:rsid w:val="00356F45"/>
    <w:rsid w:val="00366B74"/>
    <w:rsid w:val="003774C0"/>
    <w:rsid w:val="00381F95"/>
    <w:rsid w:val="003A710A"/>
    <w:rsid w:val="003B08CA"/>
    <w:rsid w:val="003B4307"/>
    <w:rsid w:val="003B659E"/>
    <w:rsid w:val="003B6F92"/>
    <w:rsid w:val="003C275E"/>
    <w:rsid w:val="003C4FDE"/>
    <w:rsid w:val="003E2D3B"/>
    <w:rsid w:val="003E58DF"/>
    <w:rsid w:val="003E70EE"/>
    <w:rsid w:val="003F7007"/>
    <w:rsid w:val="00404C4C"/>
    <w:rsid w:val="0041423F"/>
    <w:rsid w:val="00414F81"/>
    <w:rsid w:val="00426B9A"/>
    <w:rsid w:val="00436A0F"/>
    <w:rsid w:val="00437150"/>
    <w:rsid w:val="0043750A"/>
    <w:rsid w:val="00443F2C"/>
    <w:rsid w:val="00447577"/>
    <w:rsid w:val="004732E9"/>
    <w:rsid w:val="00476378"/>
    <w:rsid w:val="004854BB"/>
    <w:rsid w:val="00494493"/>
    <w:rsid w:val="00496606"/>
    <w:rsid w:val="004A3881"/>
    <w:rsid w:val="004D6E6A"/>
    <w:rsid w:val="004E5E66"/>
    <w:rsid w:val="004E7ADB"/>
    <w:rsid w:val="00500F60"/>
    <w:rsid w:val="00503B4D"/>
    <w:rsid w:val="00504EE9"/>
    <w:rsid w:val="00514E4F"/>
    <w:rsid w:val="00521576"/>
    <w:rsid w:val="00524FB0"/>
    <w:rsid w:val="005250E6"/>
    <w:rsid w:val="00532F86"/>
    <w:rsid w:val="00542D23"/>
    <w:rsid w:val="0054442C"/>
    <w:rsid w:val="005457D3"/>
    <w:rsid w:val="00545E53"/>
    <w:rsid w:val="00550285"/>
    <w:rsid w:val="00550BF3"/>
    <w:rsid w:val="00562492"/>
    <w:rsid w:val="005624E0"/>
    <w:rsid w:val="00572A20"/>
    <w:rsid w:val="00575017"/>
    <w:rsid w:val="00581618"/>
    <w:rsid w:val="005836F6"/>
    <w:rsid w:val="005836F8"/>
    <w:rsid w:val="005918FA"/>
    <w:rsid w:val="00592A86"/>
    <w:rsid w:val="005B3029"/>
    <w:rsid w:val="005B4801"/>
    <w:rsid w:val="005B699A"/>
    <w:rsid w:val="005C23A4"/>
    <w:rsid w:val="005C68EE"/>
    <w:rsid w:val="005C7EFA"/>
    <w:rsid w:val="005D1CDF"/>
    <w:rsid w:val="005D2BB7"/>
    <w:rsid w:val="005D363F"/>
    <w:rsid w:val="005D6FFE"/>
    <w:rsid w:val="005E17E4"/>
    <w:rsid w:val="005E61A8"/>
    <w:rsid w:val="005F6419"/>
    <w:rsid w:val="0060301D"/>
    <w:rsid w:val="0060543D"/>
    <w:rsid w:val="006104DD"/>
    <w:rsid w:val="00610E5A"/>
    <w:rsid w:val="006130B5"/>
    <w:rsid w:val="00614DD8"/>
    <w:rsid w:val="00617400"/>
    <w:rsid w:val="00622C78"/>
    <w:rsid w:val="0063114C"/>
    <w:rsid w:val="00632D29"/>
    <w:rsid w:val="00640B91"/>
    <w:rsid w:val="0064171D"/>
    <w:rsid w:val="00664950"/>
    <w:rsid w:val="00680547"/>
    <w:rsid w:val="00683220"/>
    <w:rsid w:val="0068781B"/>
    <w:rsid w:val="00687FA0"/>
    <w:rsid w:val="006A3C11"/>
    <w:rsid w:val="006B7010"/>
    <w:rsid w:val="006C3095"/>
    <w:rsid w:val="006D36CA"/>
    <w:rsid w:val="006D38DC"/>
    <w:rsid w:val="006D571E"/>
    <w:rsid w:val="006E1151"/>
    <w:rsid w:val="006E4F45"/>
    <w:rsid w:val="006E6311"/>
    <w:rsid w:val="00701D91"/>
    <w:rsid w:val="00710D71"/>
    <w:rsid w:val="007145FF"/>
    <w:rsid w:val="00715B2A"/>
    <w:rsid w:val="00733B21"/>
    <w:rsid w:val="007376A9"/>
    <w:rsid w:val="00744554"/>
    <w:rsid w:val="007450F1"/>
    <w:rsid w:val="00751515"/>
    <w:rsid w:val="00753943"/>
    <w:rsid w:val="007626B7"/>
    <w:rsid w:val="00771FD1"/>
    <w:rsid w:val="00772284"/>
    <w:rsid w:val="0078015B"/>
    <w:rsid w:val="0078212B"/>
    <w:rsid w:val="00784DF6"/>
    <w:rsid w:val="00785232"/>
    <w:rsid w:val="007A2588"/>
    <w:rsid w:val="007A26E2"/>
    <w:rsid w:val="007A5589"/>
    <w:rsid w:val="007B186C"/>
    <w:rsid w:val="007C1696"/>
    <w:rsid w:val="007C3ED0"/>
    <w:rsid w:val="007C48C4"/>
    <w:rsid w:val="007C5971"/>
    <w:rsid w:val="007E42DC"/>
    <w:rsid w:val="007E4668"/>
    <w:rsid w:val="007E73ED"/>
    <w:rsid w:val="007F12FA"/>
    <w:rsid w:val="007F54B9"/>
    <w:rsid w:val="007F6898"/>
    <w:rsid w:val="007F7E32"/>
    <w:rsid w:val="00806A76"/>
    <w:rsid w:val="00811C9D"/>
    <w:rsid w:val="00816C80"/>
    <w:rsid w:val="0081797B"/>
    <w:rsid w:val="0082796A"/>
    <w:rsid w:val="0083707A"/>
    <w:rsid w:val="00841BCD"/>
    <w:rsid w:val="0084590C"/>
    <w:rsid w:val="00847264"/>
    <w:rsid w:val="00851A8E"/>
    <w:rsid w:val="0085365B"/>
    <w:rsid w:val="008545E6"/>
    <w:rsid w:val="00866028"/>
    <w:rsid w:val="008668DA"/>
    <w:rsid w:val="0087310E"/>
    <w:rsid w:val="008826C1"/>
    <w:rsid w:val="00883DFD"/>
    <w:rsid w:val="00885A38"/>
    <w:rsid w:val="0089210C"/>
    <w:rsid w:val="00893D2E"/>
    <w:rsid w:val="0089556D"/>
    <w:rsid w:val="00895AFB"/>
    <w:rsid w:val="008A1BF7"/>
    <w:rsid w:val="008A5B0E"/>
    <w:rsid w:val="008B0961"/>
    <w:rsid w:val="008B1179"/>
    <w:rsid w:val="008B4C15"/>
    <w:rsid w:val="008C39F7"/>
    <w:rsid w:val="008E08AC"/>
    <w:rsid w:val="008E37D6"/>
    <w:rsid w:val="008F786B"/>
    <w:rsid w:val="009002CB"/>
    <w:rsid w:val="0090091A"/>
    <w:rsid w:val="0090373B"/>
    <w:rsid w:val="009042BD"/>
    <w:rsid w:val="00904FE4"/>
    <w:rsid w:val="009056ED"/>
    <w:rsid w:val="009062D9"/>
    <w:rsid w:val="009156B4"/>
    <w:rsid w:val="00916123"/>
    <w:rsid w:val="00927740"/>
    <w:rsid w:val="00927B85"/>
    <w:rsid w:val="009314D2"/>
    <w:rsid w:val="0093395F"/>
    <w:rsid w:val="00936159"/>
    <w:rsid w:val="0095782C"/>
    <w:rsid w:val="00973EF1"/>
    <w:rsid w:val="009777A8"/>
    <w:rsid w:val="00977E1D"/>
    <w:rsid w:val="009809DB"/>
    <w:rsid w:val="009842A0"/>
    <w:rsid w:val="009920F1"/>
    <w:rsid w:val="00997736"/>
    <w:rsid w:val="009A32FE"/>
    <w:rsid w:val="009A4C8E"/>
    <w:rsid w:val="009B0573"/>
    <w:rsid w:val="009B33C6"/>
    <w:rsid w:val="009B7B4B"/>
    <w:rsid w:val="009B7C21"/>
    <w:rsid w:val="009D40C9"/>
    <w:rsid w:val="009D705F"/>
    <w:rsid w:val="009E3C7C"/>
    <w:rsid w:val="009E4E6E"/>
    <w:rsid w:val="009E5FA9"/>
    <w:rsid w:val="00A0250B"/>
    <w:rsid w:val="00A04992"/>
    <w:rsid w:val="00A078DF"/>
    <w:rsid w:val="00A11330"/>
    <w:rsid w:val="00A147AA"/>
    <w:rsid w:val="00A160D8"/>
    <w:rsid w:val="00A21D71"/>
    <w:rsid w:val="00A21E4A"/>
    <w:rsid w:val="00A22B78"/>
    <w:rsid w:val="00A246F7"/>
    <w:rsid w:val="00A25AE5"/>
    <w:rsid w:val="00A26442"/>
    <w:rsid w:val="00A37002"/>
    <w:rsid w:val="00A372BA"/>
    <w:rsid w:val="00A41906"/>
    <w:rsid w:val="00A4355E"/>
    <w:rsid w:val="00A520D9"/>
    <w:rsid w:val="00A64DA0"/>
    <w:rsid w:val="00A675A5"/>
    <w:rsid w:val="00A74866"/>
    <w:rsid w:val="00A92BCD"/>
    <w:rsid w:val="00A932F7"/>
    <w:rsid w:val="00A9425F"/>
    <w:rsid w:val="00AA1B0E"/>
    <w:rsid w:val="00AA47B6"/>
    <w:rsid w:val="00AB5260"/>
    <w:rsid w:val="00AB7A41"/>
    <w:rsid w:val="00AC06C0"/>
    <w:rsid w:val="00AC163B"/>
    <w:rsid w:val="00AC29A0"/>
    <w:rsid w:val="00AC5CA7"/>
    <w:rsid w:val="00AC6058"/>
    <w:rsid w:val="00AD0F76"/>
    <w:rsid w:val="00AD131F"/>
    <w:rsid w:val="00AE2BA5"/>
    <w:rsid w:val="00AE56B1"/>
    <w:rsid w:val="00AE6D09"/>
    <w:rsid w:val="00AF7A7C"/>
    <w:rsid w:val="00AF7F9E"/>
    <w:rsid w:val="00B02070"/>
    <w:rsid w:val="00B258FE"/>
    <w:rsid w:val="00B26A8A"/>
    <w:rsid w:val="00B332D6"/>
    <w:rsid w:val="00B34476"/>
    <w:rsid w:val="00B408B6"/>
    <w:rsid w:val="00B41630"/>
    <w:rsid w:val="00B542DA"/>
    <w:rsid w:val="00B62C88"/>
    <w:rsid w:val="00B66B7D"/>
    <w:rsid w:val="00B706B6"/>
    <w:rsid w:val="00B73862"/>
    <w:rsid w:val="00B73F43"/>
    <w:rsid w:val="00B75BBF"/>
    <w:rsid w:val="00B81CDC"/>
    <w:rsid w:val="00B87D3A"/>
    <w:rsid w:val="00B91A80"/>
    <w:rsid w:val="00B962AF"/>
    <w:rsid w:val="00BA308C"/>
    <w:rsid w:val="00BA641C"/>
    <w:rsid w:val="00BA6B66"/>
    <w:rsid w:val="00BA6E48"/>
    <w:rsid w:val="00BD1174"/>
    <w:rsid w:val="00BD6210"/>
    <w:rsid w:val="00BD6377"/>
    <w:rsid w:val="00BE0AF6"/>
    <w:rsid w:val="00BE1F03"/>
    <w:rsid w:val="00BE234D"/>
    <w:rsid w:val="00BE58A7"/>
    <w:rsid w:val="00BF2218"/>
    <w:rsid w:val="00C0426B"/>
    <w:rsid w:val="00C045DF"/>
    <w:rsid w:val="00C23762"/>
    <w:rsid w:val="00C26D43"/>
    <w:rsid w:val="00C35173"/>
    <w:rsid w:val="00C43F4A"/>
    <w:rsid w:val="00C46548"/>
    <w:rsid w:val="00C574D5"/>
    <w:rsid w:val="00C73F32"/>
    <w:rsid w:val="00C80ADD"/>
    <w:rsid w:val="00C851E4"/>
    <w:rsid w:val="00C86B1D"/>
    <w:rsid w:val="00C87462"/>
    <w:rsid w:val="00C92A08"/>
    <w:rsid w:val="00C9468C"/>
    <w:rsid w:val="00CA180C"/>
    <w:rsid w:val="00CB0479"/>
    <w:rsid w:val="00CB1143"/>
    <w:rsid w:val="00CB22B2"/>
    <w:rsid w:val="00CC3EE2"/>
    <w:rsid w:val="00CD6C0E"/>
    <w:rsid w:val="00CD7492"/>
    <w:rsid w:val="00CE3037"/>
    <w:rsid w:val="00CE3A6B"/>
    <w:rsid w:val="00CF4463"/>
    <w:rsid w:val="00D00211"/>
    <w:rsid w:val="00D006D1"/>
    <w:rsid w:val="00D025AE"/>
    <w:rsid w:val="00D03109"/>
    <w:rsid w:val="00D06309"/>
    <w:rsid w:val="00D340A1"/>
    <w:rsid w:val="00D349A5"/>
    <w:rsid w:val="00D351EA"/>
    <w:rsid w:val="00D40288"/>
    <w:rsid w:val="00D43403"/>
    <w:rsid w:val="00D50A6B"/>
    <w:rsid w:val="00D52706"/>
    <w:rsid w:val="00D5270B"/>
    <w:rsid w:val="00D62E12"/>
    <w:rsid w:val="00D62E71"/>
    <w:rsid w:val="00D6430D"/>
    <w:rsid w:val="00D66188"/>
    <w:rsid w:val="00D731F6"/>
    <w:rsid w:val="00D740CA"/>
    <w:rsid w:val="00D7617E"/>
    <w:rsid w:val="00D816F8"/>
    <w:rsid w:val="00D85728"/>
    <w:rsid w:val="00D95481"/>
    <w:rsid w:val="00D96E40"/>
    <w:rsid w:val="00DA28FA"/>
    <w:rsid w:val="00DA5812"/>
    <w:rsid w:val="00DC58A0"/>
    <w:rsid w:val="00DC7A13"/>
    <w:rsid w:val="00DD0865"/>
    <w:rsid w:val="00DE3C55"/>
    <w:rsid w:val="00DE52E0"/>
    <w:rsid w:val="00DE7064"/>
    <w:rsid w:val="00DF2997"/>
    <w:rsid w:val="00E10BC4"/>
    <w:rsid w:val="00E140D3"/>
    <w:rsid w:val="00E1415D"/>
    <w:rsid w:val="00E169C5"/>
    <w:rsid w:val="00E213BD"/>
    <w:rsid w:val="00E233D3"/>
    <w:rsid w:val="00E323E9"/>
    <w:rsid w:val="00E32C46"/>
    <w:rsid w:val="00E32FB6"/>
    <w:rsid w:val="00E34018"/>
    <w:rsid w:val="00E436D4"/>
    <w:rsid w:val="00E437D2"/>
    <w:rsid w:val="00E43BF9"/>
    <w:rsid w:val="00E43FA7"/>
    <w:rsid w:val="00E47BC6"/>
    <w:rsid w:val="00E51930"/>
    <w:rsid w:val="00E54B70"/>
    <w:rsid w:val="00E55751"/>
    <w:rsid w:val="00E55B45"/>
    <w:rsid w:val="00E5652C"/>
    <w:rsid w:val="00E7398E"/>
    <w:rsid w:val="00E80097"/>
    <w:rsid w:val="00E82B94"/>
    <w:rsid w:val="00E87217"/>
    <w:rsid w:val="00EA2311"/>
    <w:rsid w:val="00EB533C"/>
    <w:rsid w:val="00EC7BC3"/>
    <w:rsid w:val="00ED01C8"/>
    <w:rsid w:val="00ED7600"/>
    <w:rsid w:val="00EF6073"/>
    <w:rsid w:val="00EF698B"/>
    <w:rsid w:val="00F1362C"/>
    <w:rsid w:val="00F22339"/>
    <w:rsid w:val="00F22579"/>
    <w:rsid w:val="00F236E0"/>
    <w:rsid w:val="00F35547"/>
    <w:rsid w:val="00F414F1"/>
    <w:rsid w:val="00F508B8"/>
    <w:rsid w:val="00F538D5"/>
    <w:rsid w:val="00F6472A"/>
    <w:rsid w:val="00F72CB1"/>
    <w:rsid w:val="00F7506B"/>
    <w:rsid w:val="00F811A7"/>
    <w:rsid w:val="00F8215E"/>
    <w:rsid w:val="00F824F5"/>
    <w:rsid w:val="00F82CC5"/>
    <w:rsid w:val="00F90FAB"/>
    <w:rsid w:val="00F9374D"/>
    <w:rsid w:val="00FA3DBF"/>
    <w:rsid w:val="00FB6924"/>
    <w:rsid w:val="00FC29B9"/>
    <w:rsid w:val="00FC6FD3"/>
    <w:rsid w:val="00FD4093"/>
    <w:rsid w:val="00FE305C"/>
    <w:rsid w:val="00FF0301"/>
    <w:rsid w:val="00FF2D73"/>
    <w:rsid w:val="00FF7E15"/>
    <w:rsid w:val="0D2BBC84"/>
    <w:rsid w:val="14D814DF"/>
    <w:rsid w:val="23BC654E"/>
    <w:rsid w:val="320438E5"/>
    <w:rsid w:val="532EF855"/>
    <w:rsid w:val="537A6538"/>
    <w:rsid w:val="5D7EB04D"/>
    <w:rsid w:val="67EAD26D"/>
    <w:rsid w:val="6FAE1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8B8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706"/>
    <w:rPr>
      <w:rFonts w:ascii="Times New Roman" w:hAnsi="Times New Roman"/>
      <w:sz w:val="20"/>
      <w:lang w:val="en-GB"/>
    </w:rPr>
  </w:style>
  <w:style w:type="paragraph" w:styleId="Heading1">
    <w:name w:val="heading 1"/>
    <w:aliases w:val="H1,h1,NMP Heading 1,app heading 1,l1,Memo Heading 1,h11,h12,h13,h14,h15,h16,h17,h111,h121,h131,h141,h151,h161,h18,h112,h122,h132,h142,h152,h162,h19,h113,h123,h133,h143,h153,h163,1,Section of paper,Heading 1_a"/>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出段落1,¥¡¡¡¡ì¬º¥¹¥È¶ÎÂä,ÁÐ³ö¶ÎÂä,列表段落1,—ño’i—Ž,¥ê¥¹¥È¶ÎÂä,1st level - Bullet List Paragraph,Lettre d'introduction,Paragrafo elenco,Normal bullet 2,목록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 Char,列出段落1 Char,¥¡¡¡¡ì¬º¥¹¥È¶ÎÂä Char,ÁÐ³ö¶ÎÂä Char,列表段落1 Char,—ño’i—Ž Char,¥ê¥¹¥È¶ÎÂä Char,목록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tka Text" w:hAnsi="Sitka Tex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037101"/>
    <w:pPr>
      <w:spacing w:after="0" w:line="240" w:lineRule="auto"/>
    </w:pPr>
    <w:rPr>
      <w:rFonts w:ascii="Times New Roman" w:hAnsi="Times New Roman"/>
      <w:sz w:val="20"/>
      <w:lang w:val="en-GB"/>
    </w:rPr>
  </w:style>
  <w:style w:type="paragraph" w:styleId="List">
    <w:name w:val="List"/>
    <w:basedOn w:val="Normal"/>
    <w:qFormat/>
    <w:rsid w:val="008545E6"/>
    <w:pPr>
      <w:spacing w:after="180" w:line="276" w:lineRule="auto"/>
      <w:ind w:left="568" w:hanging="284"/>
    </w:pPr>
    <w:rPr>
      <w:rFonts w:eastAsia="SimSun" w:cs="Times New Roman"/>
      <w:szCs w:val="20"/>
    </w:rPr>
  </w:style>
  <w:style w:type="character" w:styleId="Mention">
    <w:name w:val="Mention"/>
    <w:basedOn w:val="DefaultParagraphFont"/>
    <w:uiPriority w:val="99"/>
    <w:unhideWhenUsed/>
    <w:rsid w:val="0020026A"/>
    <w:rPr>
      <w:color w:val="2B579A"/>
      <w:shd w:val="clear" w:color="auto" w:fill="E1DFDD"/>
    </w:rPr>
  </w:style>
  <w:style w:type="paragraph" w:customStyle="1" w:styleId="CRCoverPage">
    <w:name w:val="CR Cover Page"/>
    <w:rsid w:val="009842A0"/>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8777">
      <w:bodyDiv w:val="1"/>
      <w:marLeft w:val="0"/>
      <w:marRight w:val="0"/>
      <w:marTop w:val="0"/>
      <w:marBottom w:val="0"/>
      <w:divBdr>
        <w:top w:val="none" w:sz="0" w:space="0" w:color="auto"/>
        <w:left w:val="none" w:sz="0" w:space="0" w:color="auto"/>
        <w:bottom w:val="none" w:sz="0" w:space="0" w:color="auto"/>
        <w:right w:val="none" w:sz="0" w:space="0" w:color="auto"/>
      </w:divBdr>
    </w:div>
    <w:div w:id="50230885">
      <w:bodyDiv w:val="1"/>
      <w:marLeft w:val="0"/>
      <w:marRight w:val="0"/>
      <w:marTop w:val="0"/>
      <w:marBottom w:val="0"/>
      <w:divBdr>
        <w:top w:val="none" w:sz="0" w:space="0" w:color="auto"/>
        <w:left w:val="none" w:sz="0" w:space="0" w:color="auto"/>
        <w:bottom w:val="none" w:sz="0" w:space="0" w:color="auto"/>
        <w:right w:val="none" w:sz="0" w:space="0" w:color="auto"/>
      </w:divBdr>
    </w:div>
    <w:div w:id="71045282">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14950692">
      <w:bodyDiv w:val="1"/>
      <w:marLeft w:val="0"/>
      <w:marRight w:val="0"/>
      <w:marTop w:val="0"/>
      <w:marBottom w:val="0"/>
      <w:divBdr>
        <w:top w:val="none" w:sz="0" w:space="0" w:color="auto"/>
        <w:left w:val="none" w:sz="0" w:space="0" w:color="auto"/>
        <w:bottom w:val="none" w:sz="0" w:space="0" w:color="auto"/>
        <w:right w:val="none" w:sz="0" w:space="0" w:color="auto"/>
      </w:divBdr>
    </w:div>
    <w:div w:id="127171251">
      <w:bodyDiv w:val="1"/>
      <w:marLeft w:val="0"/>
      <w:marRight w:val="0"/>
      <w:marTop w:val="0"/>
      <w:marBottom w:val="0"/>
      <w:divBdr>
        <w:top w:val="none" w:sz="0" w:space="0" w:color="auto"/>
        <w:left w:val="none" w:sz="0" w:space="0" w:color="auto"/>
        <w:bottom w:val="none" w:sz="0" w:space="0" w:color="auto"/>
        <w:right w:val="none" w:sz="0" w:space="0" w:color="auto"/>
      </w:divBdr>
    </w:div>
    <w:div w:id="140660943">
      <w:bodyDiv w:val="1"/>
      <w:marLeft w:val="0"/>
      <w:marRight w:val="0"/>
      <w:marTop w:val="0"/>
      <w:marBottom w:val="0"/>
      <w:divBdr>
        <w:top w:val="none" w:sz="0" w:space="0" w:color="auto"/>
        <w:left w:val="none" w:sz="0" w:space="0" w:color="auto"/>
        <w:bottom w:val="none" w:sz="0" w:space="0" w:color="auto"/>
        <w:right w:val="none" w:sz="0" w:space="0" w:color="auto"/>
      </w:divBdr>
    </w:div>
    <w:div w:id="155534051">
      <w:bodyDiv w:val="1"/>
      <w:marLeft w:val="0"/>
      <w:marRight w:val="0"/>
      <w:marTop w:val="0"/>
      <w:marBottom w:val="0"/>
      <w:divBdr>
        <w:top w:val="none" w:sz="0" w:space="0" w:color="auto"/>
        <w:left w:val="none" w:sz="0" w:space="0" w:color="auto"/>
        <w:bottom w:val="none" w:sz="0" w:space="0" w:color="auto"/>
        <w:right w:val="none" w:sz="0" w:space="0" w:color="auto"/>
      </w:divBdr>
    </w:div>
    <w:div w:id="208224997">
      <w:bodyDiv w:val="1"/>
      <w:marLeft w:val="0"/>
      <w:marRight w:val="0"/>
      <w:marTop w:val="0"/>
      <w:marBottom w:val="0"/>
      <w:divBdr>
        <w:top w:val="none" w:sz="0" w:space="0" w:color="auto"/>
        <w:left w:val="none" w:sz="0" w:space="0" w:color="auto"/>
        <w:bottom w:val="none" w:sz="0" w:space="0" w:color="auto"/>
        <w:right w:val="none" w:sz="0" w:space="0" w:color="auto"/>
      </w:divBdr>
    </w:div>
    <w:div w:id="270819672">
      <w:bodyDiv w:val="1"/>
      <w:marLeft w:val="0"/>
      <w:marRight w:val="0"/>
      <w:marTop w:val="0"/>
      <w:marBottom w:val="0"/>
      <w:divBdr>
        <w:top w:val="none" w:sz="0" w:space="0" w:color="auto"/>
        <w:left w:val="none" w:sz="0" w:space="0" w:color="auto"/>
        <w:bottom w:val="none" w:sz="0" w:space="0" w:color="auto"/>
        <w:right w:val="none" w:sz="0" w:space="0" w:color="auto"/>
      </w:divBdr>
      <w:divsChild>
        <w:div w:id="3869871">
          <w:marLeft w:val="0"/>
          <w:marRight w:val="0"/>
          <w:marTop w:val="0"/>
          <w:marBottom w:val="0"/>
          <w:divBdr>
            <w:top w:val="none" w:sz="0" w:space="0" w:color="auto"/>
            <w:left w:val="none" w:sz="0" w:space="0" w:color="auto"/>
            <w:bottom w:val="none" w:sz="0" w:space="0" w:color="auto"/>
            <w:right w:val="none" w:sz="0" w:space="0" w:color="auto"/>
          </w:divBdr>
        </w:div>
        <w:div w:id="113062698">
          <w:marLeft w:val="0"/>
          <w:marRight w:val="0"/>
          <w:marTop w:val="0"/>
          <w:marBottom w:val="0"/>
          <w:divBdr>
            <w:top w:val="none" w:sz="0" w:space="0" w:color="auto"/>
            <w:left w:val="none" w:sz="0" w:space="0" w:color="auto"/>
            <w:bottom w:val="none" w:sz="0" w:space="0" w:color="auto"/>
            <w:right w:val="none" w:sz="0" w:space="0" w:color="auto"/>
          </w:divBdr>
        </w:div>
        <w:div w:id="321468970">
          <w:marLeft w:val="0"/>
          <w:marRight w:val="0"/>
          <w:marTop w:val="0"/>
          <w:marBottom w:val="0"/>
          <w:divBdr>
            <w:top w:val="none" w:sz="0" w:space="0" w:color="auto"/>
            <w:left w:val="none" w:sz="0" w:space="0" w:color="auto"/>
            <w:bottom w:val="none" w:sz="0" w:space="0" w:color="auto"/>
            <w:right w:val="none" w:sz="0" w:space="0" w:color="auto"/>
          </w:divBdr>
        </w:div>
        <w:div w:id="656227879">
          <w:marLeft w:val="0"/>
          <w:marRight w:val="0"/>
          <w:marTop w:val="0"/>
          <w:marBottom w:val="0"/>
          <w:divBdr>
            <w:top w:val="none" w:sz="0" w:space="0" w:color="auto"/>
            <w:left w:val="none" w:sz="0" w:space="0" w:color="auto"/>
            <w:bottom w:val="none" w:sz="0" w:space="0" w:color="auto"/>
            <w:right w:val="none" w:sz="0" w:space="0" w:color="auto"/>
          </w:divBdr>
        </w:div>
        <w:div w:id="696008745">
          <w:marLeft w:val="0"/>
          <w:marRight w:val="0"/>
          <w:marTop w:val="0"/>
          <w:marBottom w:val="0"/>
          <w:divBdr>
            <w:top w:val="none" w:sz="0" w:space="0" w:color="auto"/>
            <w:left w:val="none" w:sz="0" w:space="0" w:color="auto"/>
            <w:bottom w:val="none" w:sz="0" w:space="0" w:color="auto"/>
            <w:right w:val="none" w:sz="0" w:space="0" w:color="auto"/>
          </w:divBdr>
        </w:div>
        <w:div w:id="858278418">
          <w:marLeft w:val="0"/>
          <w:marRight w:val="0"/>
          <w:marTop w:val="0"/>
          <w:marBottom w:val="0"/>
          <w:divBdr>
            <w:top w:val="none" w:sz="0" w:space="0" w:color="auto"/>
            <w:left w:val="none" w:sz="0" w:space="0" w:color="auto"/>
            <w:bottom w:val="none" w:sz="0" w:space="0" w:color="auto"/>
            <w:right w:val="none" w:sz="0" w:space="0" w:color="auto"/>
          </w:divBdr>
        </w:div>
        <w:div w:id="933560412">
          <w:marLeft w:val="0"/>
          <w:marRight w:val="0"/>
          <w:marTop w:val="0"/>
          <w:marBottom w:val="0"/>
          <w:divBdr>
            <w:top w:val="none" w:sz="0" w:space="0" w:color="auto"/>
            <w:left w:val="none" w:sz="0" w:space="0" w:color="auto"/>
            <w:bottom w:val="none" w:sz="0" w:space="0" w:color="auto"/>
            <w:right w:val="none" w:sz="0" w:space="0" w:color="auto"/>
          </w:divBdr>
        </w:div>
        <w:div w:id="1648702692">
          <w:marLeft w:val="0"/>
          <w:marRight w:val="0"/>
          <w:marTop w:val="0"/>
          <w:marBottom w:val="0"/>
          <w:divBdr>
            <w:top w:val="none" w:sz="0" w:space="0" w:color="auto"/>
            <w:left w:val="none" w:sz="0" w:space="0" w:color="auto"/>
            <w:bottom w:val="none" w:sz="0" w:space="0" w:color="auto"/>
            <w:right w:val="none" w:sz="0" w:space="0" w:color="auto"/>
          </w:divBdr>
        </w:div>
        <w:div w:id="1907252574">
          <w:marLeft w:val="0"/>
          <w:marRight w:val="0"/>
          <w:marTop w:val="0"/>
          <w:marBottom w:val="0"/>
          <w:divBdr>
            <w:top w:val="none" w:sz="0" w:space="0" w:color="auto"/>
            <w:left w:val="none" w:sz="0" w:space="0" w:color="auto"/>
            <w:bottom w:val="none" w:sz="0" w:space="0" w:color="auto"/>
            <w:right w:val="none" w:sz="0" w:space="0" w:color="auto"/>
          </w:divBdr>
        </w:div>
        <w:div w:id="2083479520">
          <w:marLeft w:val="0"/>
          <w:marRight w:val="0"/>
          <w:marTop w:val="0"/>
          <w:marBottom w:val="0"/>
          <w:divBdr>
            <w:top w:val="none" w:sz="0" w:space="0" w:color="auto"/>
            <w:left w:val="none" w:sz="0" w:space="0" w:color="auto"/>
            <w:bottom w:val="none" w:sz="0" w:space="0" w:color="auto"/>
            <w:right w:val="none" w:sz="0" w:space="0" w:color="auto"/>
          </w:divBdr>
        </w:div>
        <w:div w:id="2109616975">
          <w:marLeft w:val="0"/>
          <w:marRight w:val="0"/>
          <w:marTop w:val="0"/>
          <w:marBottom w:val="0"/>
          <w:divBdr>
            <w:top w:val="none" w:sz="0" w:space="0" w:color="auto"/>
            <w:left w:val="none" w:sz="0" w:space="0" w:color="auto"/>
            <w:bottom w:val="none" w:sz="0" w:space="0" w:color="auto"/>
            <w:right w:val="none" w:sz="0" w:space="0" w:color="auto"/>
          </w:divBdr>
        </w:div>
      </w:divsChild>
    </w:div>
    <w:div w:id="276909022">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370229922">
      <w:bodyDiv w:val="1"/>
      <w:marLeft w:val="0"/>
      <w:marRight w:val="0"/>
      <w:marTop w:val="0"/>
      <w:marBottom w:val="0"/>
      <w:divBdr>
        <w:top w:val="none" w:sz="0" w:space="0" w:color="auto"/>
        <w:left w:val="none" w:sz="0" w:space="0" w:color="auto"/>
        <w:bottom w:val="none" w:sz="0" w:space="0" w:color="auto"/>
        <w:right w:val="none" w:sz="0" w:space="0" w:color="auto"/>
      </w:divBdr>
    </w:div>
    <w:div w:id="387531716">
      <w:bodyDiv w:val="1"/>
      <w:marLeft w:val="0"/>
      <w:marRight w:val="0"/>
      <w:marTop w:val="0"/>
      <w:marBottom w:val="0"/>
      <w:divBdr>
        <w:top w:val="none" w:sz="0" w:space="0" w:color="auto"/>
        <w:left w:val="none" w:sz="0" w:space="0" w:color="auto"/>
        <w:bottom w:val="none" w:sz="0" w:space="0" w:color="auto"/>
        <w:right w:val="none" w:sz="0" w:space="0" w:color="auto"/>
      </w:divBdr>
    </w:div>
    <w:div w:id="403723674">
      <w:bodyDiv w:val="1"/>
      <w:marLeft w:val="0"/>
      <w:marRight w:val="0"/>
      <w:marTop w:val="0"/>
      <w:marBottom w:val="0"/>
      <w:divBdr>
        <w:top w:val="none" w:sz="0" w:space="0" w:color="auto"/>
        <w:left w:val="none" w:sz="0" w:space="0" w:color="auto"/>
        <w:bottom w:val="none" w:sz="0" w:space="0" w:color="auto"/>
        <w:right w:val="none" w:sz="0" w:space="0" w:color="auto"/>
      </w:divBdr>
    </w:div>
    <w:div w:id="414589921">
      <w:bodyDiv w:val="1"/>
      <w:marLeft w:val="0"/>
      <w:marRight w:val="0"/>
      <w:marTop w:val="0"/>
      <w:marBottom w:val="0"/>
      <w:divBdr>
        <w:top w:val="none" w:sz="0" w:space="0" w:color="auto"/>
        <w:left w:val="none" w:sz="0" w:space="0" w:color="auto"/>
        <w:bottom w:val="none" w:sz="0" w:space="0" w:color="auto"/>
        <w:right w:val="none" w:sz="0" w:space="0" w:color="auto"/>
      </w:divBdr>
    </w:div>
    <w:div w:id="518079116">
      <w:bodyDiv w:val="1"/>
      <w:marLeft w:val="0"/>
      <w:marRight w:val="0"/>
      <w:marTop w:val="0"/>
      <w:marBottom w:val="0"/>
      <w:divBdr>
        <w:top w:val="none" w:sz="0" w:space="0" w:color="auto"/>
        <w:left w:val="none" w:sz="0" w:space="0" w:color="auto"/>
        <w:bottom w:val="none" w:sz="0" w:space="0" w:color="auto"/>
        <w:right w:val="none" w:sz="0" w:space="0" w:color="auto"/>
      </w:divBdr>
    </w:div>
    <w:div w:id="550455896">
      <w:bodyDiv w:val="1"/>
      <w:marLeft w:val="0"/>
      <w:marRight w:val="0"/>
      <w:marTop w:val="0"/>
      <w:marBottom w:val="0"/>
      <w:divBdr>
        <w:top w:val="none" w:sz="0" w:space="0" w:color="auto"/>
        <w:left w:val="none" w:sz="0" w:space="0" w:color="auto"/>
        <w:bottom w:val="none" w:sz="0" w:space="0" w:color="auto"/>
        <w:right w:val="none" w:sz="0" w:space="0" w:color="auto"/>
      </w:divBdr>
    </w:div>
    <w:div w:id="702706274">
      <w:bodyDiv w:val="1"/>
      <w:marLeft w:val="0"/>
      <w:marRight w:val="0"/>
      <w:marTop w:val="0"/>
      <w:marBottom w:val="0"/>
      <w:divBdr>
        <w:top w:val="none" w:sz="0" w:space="0" w:color="auto"/>
        <w:left w:val="none" w:sz="0" w:space="0" w:color="auto"/>
        <w:bottom w:val="none" w:sz="0" w:space="0" w:color="auto"/>
        <w:right w:val="none" w:sz="0" w:space="0" w:color="auto"/>
      </w:divBdr>
    </w:div>
    <w:div w:id="705787757">
      <w:bodyDiv w:val="1"/>
      <w:marLeft w:val="0"/>
      <w:marRight w:val="0"/>
      <w:marTop w:val="0"/>
      <w:marBottom w:val="0"/>
      <w:divBdr>
        <w:top w:val="none" w:sz="0" w:space="0" w:color="auto"/>
        <w:left w:val="none" w:sz="0" w:space="0" w:color="auto"/>
        <w:bottom w:val="none" w:sz="0" w:space="0" w:color="auto"/>
        <w:right w:val="none" w:sz="0" w:space="0" w:color="auto"/>
      </w:divBdr>
    </w:div>
    <w:div w:id="830372623">
      <w:bodyDiv w:val="1"/>
      <w:marLeft w:val="0"/>
      <w:marRight w:val="0"/>
      <w:marTop w:val="0"/>
      <w:marBottom w:val="0"/>
      <w:divBdr>
        <w:top w:val="none" w:sz="0" w:space="0" w:color="auto"/>
        <w:left w:val="none" w:sz="0" w:space="0" w:color="auto"/>
        <w:bottom w:val="none" w:sz="0" w:space="0" w:color="auto"/>
        <w:right w:val="none" w:sz="0" w:space="0" w:color="auto"/>
      </w:divBdr>
    </w:div>
    <w:div w:id="891382920">
      <w:bodyDiv w:val="1"/>
      <w:marLeft w:val="0"/>
      <w:marRight w:val="0"/>
      <w:marTop w:val="0"/>
      <w:marBottom w:val="0"/>
      <w:divBdr>
        <w:top w:val="none" w:sz="0" w:space="0" w:color="auto"/>
        <w:left w:val="none" w:sz="0" w:space="0" w:color="auto"/>
        <w:bottom w:val="none" w:sz="0" w:space="0" w:color="auto"/>
        <w:right w:val="none" w:sz="0" w:space="0" w:color="auto"/>
      </w:divBdr>
    </w:div>
    <w:div w:id="953944262">
      <w:bodyDiv w:val="1"/>
      <w:marLeft w:val="0"/>
      <w:marRight w:val="0"/>
      <w:marTop w:val="0"/>
      <w:marBottom w:val="0"/>
      <w:divBdr>
        <w:top w:val="none" w:sz="0" w:space="0" w:color="auto"/>
        <w:left w:val="none" w:sz="0" w:space="0" w:color="auto"/>
        <w:bottom w:val="none" w:sz="0" w:space="0" w:color="auto"/>
        <w:right w:val="none" w:sz="0" w:space="0" w:color="auto"/>
      </w:divBdr>
    </w:div>
    <w:div w:id="1010716668">
      <w:bodyDiv w:val="1"/>
      <w:marLeft w:val="0"/>
      <w:marRight w:val="0"/>
      <w:marTop w:val="0"/>
      <w:marBottom w:val="0"/>
      <w:divBdr>
        <w:top w:val="none" w:sz="0" w:space="0" w:color="auto"/>
        <w:left w:val="none" w:sz="0" w:space="0" w:color="auto"/>
        <w:bottom w:val="none" w:sz="0" w:space="0" w:color="auto"/>
        <w:right w:val="none" w:sz="0" w:space="0" w:color="auto"/>
      </w:divBdr>
    </w:div>
    <w:div w:id="1036193815">
      <w:bodyDiv w:val="1"/>
      <w:marLeft w:val="0"/>
      <w:marRight w:val="0"/>
      <w:marTop w:val="0"/>
      <w:marBottom w:val="0"/>
      <w:divBdr>
        <w:top w:val="none" w:sz="0" w:space="0" w:color="auto"/>
        <w:left w:val="none" w:sz="0" w:space="0" w:color="auto"/>
        <w:bottom w:val="none" w:sz="0" w:space="0" w:color="auto"/>
        <w:right w:val="none" w:sz="0" w:space="0" w:color="auto"/>
      </w:divBdr>
    </w:div>
    <w:div w:id="1138690892">
      <w:bodyDiv w:val="1"/>
      <w:marLeft w:val="0"/>
      <w:marRight w:val="0"/>
      <w:marTop w:val="0"/>
      <w:marBottom w:val="0"/>
      <w:divBdr>
        <w:top w:val="none" w:sz="0" w:space="0" w:color="auto"/>
        <w:left w:val="none" w:sz="0" w:space="0" w:color="auto"/>
        <w:bottom w:val="none" w:sz="0" w:space="0" w:color="auto"/>
        <w:right w:val="none" w:sz="0" w:space="0" w:color="auto"/>
      </w:divBdr>
    </w:div>
    <w:div w:id="1189031460">
      <w:bodyDiv w:val="1"/>
      <w:marLeft w:val="0"/>
      <w:marRight w:val="0"/>
      <w:marTop w:val="0"/>
      <w:marBottom w:val="0"/>
      <w:divBdr>
        <w:top w:val="none" w:sz="0" w:space="0" w:color="auto"/>
        <w:left w:val="none" w:sz="0" w:space="0" w:color="auto"/>
        <w:bottom w:val="none" w:sz="0" w:space="0" w:color="auto"/>
        <w:right w:val="none" w:sz="0" w:space="0" w:color="auto"/>
      </w:divBdr>
    </w:div>
    <w:div w:id="1224028445">
      <w:bodyDiv w:val="1"/>
      <w:marLeft w:val="0"/>
      <w:marRight w:val="0"/>
      <w:marTop w:val="0"/>
      <w:marBottom w:val="0"/>
      <w:divBdr>
        <w:top w:val="none" w:sz="0" w:space="0" w:color="auto"/>
        <w:left w:val="none" w:sz="0" w:space="0" w:color="auto"/>
        <w:bottom w:val="none" w:sz="0" w:space="0" w:color="auto"/>
        <w:right w:val="none" w:sz="0" w:space="0" w:color="auto"/>
      </w:divBdr>
      <w:divsChild>
        <w:div w:id="149489649">
          <w:marLeft w:val="0"/>
          <w:marRight w:val="0"/>
          <w:marTop w:val="0"/>
          <w:marBottom w:val="0"/>
          <w:divBdr>
            <w:top w:val="none" w:sz="0" w:space="0" w:color="auto"/>
            <w:left w:val="none" w:sz="0" w:space="0" w:color="auto"/>
            <w:bottom w:val="none" w:sz="0" w:space="0" w:color="auto"/>
            <w:right w:val="none" w:sz="0" w:space="0" w:color="auto"/>
          </w:divBdr>
        </w:div>
        <w:div w:id="481389908">
          <w:marLeft w:val="0"/>
          <w:marRight w:val="0"/>
          <w:marTop w:val="0"/>
          <w:marBottom w:val="0"/>
          <w:divBdr>
            <w:top w:val="none" w:sz="0" w:space="0" w:color="auto"/>
            <w:left w:val="none" w:sz="0" w:space="0" w:color="auto"/>
            <w:bottom w:val="none" w:sz="0" w:space="0" w:color="auto"/>
            <w:right w:val="none" w:sz="0" w:space="0" w:color="auto"/>
          </w:divBdr>
        </w:div>
        <w:div w:id="916481265">
          <w:marLeft w:val="0"/>
          <w:marRight w:val="0"/>
          <w:marTop w:val="0"/>
          <w:marBottom w:val="0"/>
          <w:divBdr>
            <w:top w:val="none" w:sz="0" w:space="0" w:color="auto"/>
            <w:left w:val="none" w:sz="0" w:space="0" w:color="auto"/>
            <w:bottom w:val="none" w:sz="0" w:space="0" w:color="auto"/>
            <w:right w:val="none" w:sz="0" w:space="0" w:color="auto"/>
          </w:divBdr>
        </w:div>
        <w:div w:id="1045637665">
          <w:marLeft w:val="0"/>
          <w:marRight w:val="0"/>
          <w:marTop w:val="0"/>
          <w:marBottom w:val="0"/>
          <w:divBdr>
            <w:top w:val="none" w:sz="0" w:space="0" w:color="auto"/>
            <w:left w:val="none" w:sz="0" w:space="0" w:color="auto"/>
            <w:bottom w:val="none" w:sz="0" w:space="0" w:color="auto"/>
            <w:right w:val="none" w:sz="0" w:space="0" w:color="auto"/>
          </w:divBdr>
        </w:div>
        <w:div w:id="1121268397">
          <w:marLeft w:val="0"/>
          <w:marRight w:val="0"/>
          <w:marTop w:val="0"/>
          <w:marBottom w:val="0"/>
          <w:divBdr>
            <w:top w:val="none" w:sz="0" w:space="0" w:color="auto"/>
            <w:left w:val="none" w:sz="0" w:space="0" w:color="auto"/>
            <w:bottom w:val="none" w:sz="0" w:space="0" w:color="auto"/>
            <w:right w:val="none" w:sz="0" w:space="0" w:color="auto"/>
          </w:divBdr>
        </w:div>
        <w:div w:id="1192186752">
          <w:marLeft w:val="0"/>
          <w:marRight w:val="0"/>
          <w:marTop w:val="0"/>
          <w:marBottom w:val="0"/>
          <w:divBdr>
            <w:top w:val="none" w:sz="0" w:space="0" w:color="auto"/>
            <w:left w:val="none" w:sz="0" w:space="0" w:color="auto"/>
            <w:bottom w:val="none" w:sz="0" w:space="0" w:color="auto"/>
            <w:right w:val="none" w:sz="0" w:space="0" w:color="auto"/>
          </w:divBdr>
        </w:div>
        <w:div w:id="1282808783">
          <w:marLeft w:val="0"/>
          <w:marRight w:val="0"/>
          <w:marTop w:val="0"/>
          <w:marBottom w:val="0"/>
          <w:divBdr>
            <w:top w:val="none" w:sz="0" w:space="0" w:color="auto"/>
            <w:left w:val="none" w:sz="0" w:space="0" w:color="auto"/>
            <w:bottom w:val="none" w:sz="0" w:space="0" w:color="auto"/>
            <w:right w:val="none" w:sz="0" w:space="0" w:color="auto"/>
          </w:divBdr>
        </w:div>
        <w:div w:id="1484346274">
          <w:marLeft w:val="0"/>
          <w:marRight w:val="0"/>
          <w:marTop w:val="0"/>
          <w:marBottom w:val="0"/>
          <w:divBdr>
            <w:top w:val="none" w:sz="0" w:space="0" w:color="auto"/>
            <w:left w:val="none" w:sz="0" w:space="0" w:color="auto"/>
            <w:bottom w:val="none" w:sz="0" w:space="0" w:color="auto"/>
            <w:right w:val="none" w:sz="0" w:space="0" w:color="auto"/>
          </w:divBdr>
        </w:div>
        <w:div w:id="1918437169">
          <w:marLeft w:val="0"/>
          <w:marRight w:val="0"/>
          <w:marTop w:val="0"/>
          <w:marBottom w:val="0"/>
          <w:divBdr>
            <w:top w:val="none" w:sz="0" w:space="0" w:color="auto"/>
            <w:left w:val="none" w:sz="0" w:space="0" w:color="auto"/>
            <w:bottom w:val="none" w:sz="0" w:space="0" w:color="auto"/>
            <w:right w:val="none" w:sz="0" w:space="0" w:color="auto"/>
          </w:divBdr>
        </w:div>
        <w:div w:id="1991665176">
          <w:marLeft w:val="0"/>
          <w:marRight w:val="0"/>
          <w:marTop w:val="0"/>
          <w:marBottom w:val="0"/>
          <w:divBdr>
            <w:top w:val="none" w:sz="0" w:space="0" w:color="auto"/>
            <w:left w:val="none" w:sz="0" w:space="0" w:color="auto"/>
            <w:bottom w:val="none" w:sz="0" w:space="0" w:color="auto"/>
            <w:right w:val="none" w:sz="0" w:space="0" w:color="auto"/>
          </w:divBdr>
        </w:div>
        <w:div w:id="2145197797">
          <w:marLeft w:val="0"/>
          <w:marRight w:val="0"/>
          <w:marTop w:val="0"/>
          <w:marBottom w:val="0"/>
          <w:divBdr>
            <w:top w:val="none" w:sz="0" w:space="0" w:color="auto"/>
            <w:left w:val="none" w:sz="0" w:space="0" w:color="auto"/>
            <w:bottom w:val="none" w:sz="0" w:space="0" w:color="auto"/>
            <w:right w:val="none" w:sz="0" w:space="0" w:color="auto"/>
          </w:divBdr>
        </w:div>
      </w:divsChild>
    </w:div>
    <w:div w:id="1258978732">
      <w:bodyDiv w:val="1"/>
      <w:marLeft w:val="0"/>
      <w:marRight w:val="0"/>
      <w:marTop w:val="0"/>
      <w:marBottom w:val="0"/>
      <w:divBdr>
        <w:top w:val="none" w:sz="0" w:space="0" w:color="auto"/>
        <w:left w:val="none" w:sz="0" w:space="0" w:color="auto"/>
        <w:bottom w:val="none" w:sz="0" w:space="0" w:color="auto"/>
        <w:right w:val="none" w:sz="0" w:space="0" w:color="auto"/>
      </w:divBdr>
    </w:div>
    <w:div w:id="1327901428">
      <w:bodyDiv w:val="1"/>
      <w:marLeft w:val="0"/>
      <w:marRight w:val="0"/>
      <w:marTop w:val="0"/>
      <w:marBottom w:val="0"/>
      <w:divBdr>
        <w:top w:val="none" w:sz="0" w:space="0" w:color="auto"/>
        <w:left w:val="none" w:sz="0" w:space="0" w:color="auto"/>
        <w:bottom w:val="none" w:sz="0" w:space="0" w:color="auto"/>
        <w:right w:val="none" w:sz="0" w:space="0" w:color="auto"/>
      </w:divBdr>
    </w:div>
    <w:div w:id="1352343681">
      <w:bodyDiv w:val="1"/>
      <w:marLeft w:val="0"/>
      <w:marRight w:val="0"/>
      <w:marTop w:val="0"/>
      <w:marBottom w:val="0"/>
      <w:divBdr>
        <w:top w:val="none" w:sz="0" w:space="0" w:color="auto"/>
        <w:left w:val="none" w:sz="0" w:space="0" w:color="auto"/>
        <w:bottom w:val="none" w:sz="0" w:space="0" w:color="auto"/>
        <w:right w:val="none" w:sz="0" w:space="0" w:color="auto"/>
      </w:divBdr>
    </w:div>
    <w:div w:id="1468936816">
      <w:bodyDiv w:val="1"/>
      <w:marLeft w:val="0"/>
      <w:marRight w:val="0"/>
      <w:marTop w:val="0"/>
      <w:marBottom w:val="0"/>
      <w:divBdr>
        <w:top w:val="none" w:sz="0" w:space="0" w:color="auto"/>
        <w:left w:val="none" w:sz="0" w:space="0" w:color="auto"/>
        <w:bottom w:val="none" w:sz="0" w:space="0" w:color="auto"/>
        <w:right w:val="none" w:sz="0" w:space="0" w:color="auto"/>
      </w:divBdr>
    </w:div>
    <w:div w:id="1497763582">
      <w:bodyDiv w:val="1"/>
      <w:marLeft w:val="0"/>
      <w:marRight w:val="0"/>
      <w:marTop w:val="0"/>
      <w:marBottom w:val="0"/>
      <w:divBdr>
        <w:top w:val="none" w:sz="0" w:space="0" w:color="auto"/>
        <w:left w:val="none" w:sz="0" w:space="0" w:color="auto"/>
        <w:bottom w:val="none" w:sz="0" w:space="0" w:color="auto"/>
        <w:right w:val="none" w:sz="0" w:space="0" w:color="auto"/>
      </w:divBdr>
    </w:div>
    <w:div w:id="1506553769">
      <w:bodyDiv w:val="1"/>
      <w:marLeft w:val="0"/>
      <w:marRight w:val="0"/>
      <w:marTop w:val="0"/>
      <w:marBottom w:val="0"/>
      <w:divBdr>
        <w:top w:val="none" w:sz="0" w:space="0" w:color="auto"/>
        <w:left w:val="none" w:sz="0" w:space="0" w:color="auto"/>
        <w:bottom w:val="none" w:sz="0" w:space="0" w:color="auto"/>
        <w:right w:val="none" w:sz="0" w:space="0" w:color="auto"/>
      </w:divBdr>
    </w:div>
    <w:div w:id="1689208591">
      <w:bodyDiv w:val="1"/>
      <w:marLeft w:val="0"/>
      <w:marRight w:val="0"/>
      <w:marTop w:val="0"/>
      <w:marBottom w:val="0"/>
      <w:divBdr>
        <w:top w:val="none" w:sz="0" w:space="0" w:color="auto"/>
        <w:left w:val="none" w:sz="0" w:space="0" w:color="auto"/>
        <w:bottom w:val="none" w:sz="0" w:space="0" w:color="auto"/>
        <w:right w:val="none" w:sz="0" w:space="0" w:color="auto"/>
      </w:divBdr>
    </w:div>
    <w:div w:id="1737557070">
      <w:bodyDiv w:val="1"/>
      <w:marLeft w:val="0"/>
      <w:marRight w:val="0"/>
      <w:marTop w:val="0"/>
      <w:marBottom w:val="0"/>
      <w:divBdr>
        <w:top w:val="none" w:sz="0" w:space="0" w:color="auto"/>
        <w:left w:val="none" w:sz="0" w:space="0" w:color="auto"/>
        <w:bottom w:val="none" w:sz="0" w:space="0" w:color="auto"/>
        <w:right w:val="none" w:sz="0" w:space="0" w:color="auto"/>
      </w:divBdr>
    </w:div>
    <w:div w:id="1759403696">
      <w:bodyDiv w:val="1"/>
      <w:marLeft w:val="0"/>
      <w:marRight w:val="0"/>
      <w:marTop w:val="0"/>
      <w:marBottom w:val="0"/>
      <w:divBdr>
        <w:top w:val="none" w:sz="0" w:space="0" w:color="auto"/>
        <w:left w:val="none" w:sz="0" w:space="0" w:color="auto"/>
        <w:bottom w:val="none" w:sz="0" w:space="0" w:color="auto"/>
        <w:right w:val="none" w:sz="0" w:space="0" w:color="auto"/>
      </w:divBdr>
    </w:div>
    <w:div w:id="1759718610">
      <w:bodyDiv w:val="1"/>
      <w:marLeft w:val="0"/>
      <w:marRight w:val="0"/>
      <w:marTop w:val="0"/>
      <w:marBottom w:val="0"/>
      <w:divBdr>
        <w:top w:val="none" w:sz="0" w:space="0" w:color="auto"/>
        <w:left w:val="none" w:sz="0" w:space="0" w:color="auto"/>
        <w:bottom w:val="none" w:sz="0" w:space="0" w:color="auto"/>
        <w:right w:val="none" w:sz="0" w:space="0" w:color="auto"/>
      </w:divBdr>
    </w:div>
    <w:div w:id="1813059084">
      <w:bodyDiv w:val="1"/>
      <w:marLeft w:val="0"/>
      <w:marRight w:val="0"/>
      <w:marTop w:val="0"/>
      <w:marBottom w:val="0"/>
      <w:divBdr>
        <w:top w:val="none" w:sz="0" w:space="0" w:color="auto"/>
        <w:left w:val="none" w:sz="0" w:space="0" w:color="auto"/>
        <w:bottom w:val="none" w:sz="0" w:space="0" w:color="auto"/>
        <w:right w:val="none" w:sz="0" w:space="0" w:color="auto"/>
      </w:divBdr>
    </w:div>
    <w:div w:id="1875582412">
      <w:bodyDiv w:val="1"/>
      <w:marLeft w:val="0"/>
      <w:marRight w:val="0"/>
      <w:marTop w:val="0"/>
      <w:marBottom w:val="0"/>
      <w:divBdr>
        <w:top w:val="none" w:sz="0" w:space="0" w:color="auto"/>
        <w:left w:val="none" w:sz="0" w:space="0" w:color="auto"/>
        <w:bottom w:val="none" w:sz="0" w:space="0" w:color="auto"/>
        <w:right w:val="none" w:sz="0" w:space="0" w:color="auto"/>
      </w:divBdr>
    </w:div>
    <w:div w:id="1899632272">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78755795">
      <w:bodyDiv w:val="1"/>
      <w:marLeft w:val="0"/>
      <w:marRight w:val="0"/>
      <w:marTop w:val="0"/>
      <w:marBottom w:val="0"/>
      <w:divBdr>
        <w:top w:val="none" w:sz="0" w:space="0" w:color="auto"/>
        <w:left w:val="none" w:sz="0" w:space="0" w:color="auto"/>
        <w:bottom w:val="none" w:sz="0" w:space="0" w:color="auto"/>
        <w:right w:val="none" w:sz="0" w:space="0" w:color="auto"/>
      </w:divBdr>
    </w:div>
    <w:div w:id="2007973991">
      <w:bodyDiv w:val="1"/>
      <w:marLeft w:val="0"/>
      <w:marRight w:val="0"/>
      <w:marTop w:val="0"/>
      <w:marBottom w:val="0"/>
      <w:divBdr>
        <w:top w:val="none" w:sz="0" w:space="0" w:color="auto"/>
        <w:left w:val="none" w:sz="0" w:space="0" w:color="auto"/>
        <w:bottom w:val="none" w:sz="0" w:space="0" w:color="auto"/>
        <w:right w:val="none" w:sz="0" w:space="0" w:color="auto"/>
      </w:divBdr>
    </w:div>
    <w:div w:id="2071344275">
      <w:bodyDiv w:val="1"/>
      <w:marLeft w:val="0"/>
      <w:marRight w:val="0"/>
      <w:marTop w:val="0"/>
      <w:marBottom w:val="0"/>
      <w:divBdr>
        <w:top w:val="none" w:sz="0" w:space="0" w:color="auto"/>
        <w:left w:val="none" w:sz="0" w:space="0" w:color="auto"/>
        <w:bottom w:val="none" w:sz="0" w:space="0" w:color="auto"/>
        <w:right w:val="none" w:sz="0" w:space="0" w:color="auto"/>
      </w:divBdr>
    </w:div>
    <w:div w:id="2075469672">
      <w:bodyDiv w:val="1"/>
      <w:marLeft w:val="0"/>
      <w:marRight w:val="0"/>
      <w:marTop w:val="0"/>
      <w:marBottom w:val="0"/>
      <w:divBdr>
        <w:top w:val="none" w:sz="0" w:space="0" w:color="auto"/>
        <w:left w:val="none" w:sz="0" w:space="0" w:color="auto"/>
        <w:bottom w:val="none" w:sz="0" w:space="0" w:color="auto"/>
        <w:right w:val="none" w:sz="0" w:space="0" w:color="auto"/>
      </w:divBdr>
    </w:div>
    <w:div w:id="2085299367">
      <w:bodyDiv w:val="1"/>
      <w:marLeft w:val="0"/>
      <w:marRight w:val="0"/>
      <w:marTop w:val="0"/>
      <w:marBottom w:val="0"/>
      <w:divBdr>
        <w:top w:val="none" w:sz="0" w:space="0" w:color="auto"/>
        <w:left w:val="none" w:sz="0" w:space="0" w:color="auto"/>
        <w:bottom w:val="none" w:sz="0" w:space="0" w:color="auto"/>
        <w:right w:val="none" w:sz="0" w:space="0" w:color="auto"/>
      </w:divBdr>
    </w:div>
    <w:div w:id="213309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1365</Words>
  <Characters>7783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9130</CharactersWithSpaces>
  <SharedDoc>false</SharedDoc>
  <HLinks>
    <vt:vector size="30" baseType="variant">
      <vt:variant>
        <vt:i4>1376311</vt:i4>
      </vt:variant>
      <vt:variant>
        <vt:i4>17</vt:i4>
      </vt:variant>
      <vt:variant>
        <vt:i4>0</vt:i4>
      </vt:variant>
      <vt:variant>
        <vt:i4>5</vt:i4>
      </vt:variant>
      <vt:variant>
        <vt:lpwstr/>
      </vt:variant>
      <vt:variant>
        <vt:lpwstr>_Toc206170435</vt:lpwstr>
      </vt:variant>
      <vt:variant>
        <vt:i4>1376311</vt:i4>
      </vt:variant>
      <vt:variant>
        <vt:i4>14</vt:i4>
      </vt:variant>
      <vt:variant>
        <vt:i4>0</vt:i4>
      </vt:variant>
      <vt:variant>
        <vt:i4>5</vt:i4>
      </vt:variant>
      <vt:variant>
        <vt:lpwstr/>
      </vt:variant>
      <vt:variant>
        <vt:lpwstr>_Toc206170434</vt:lpwstr>
      </vt:variant>
      <vt:variant>
        <vt:i4>1376311</vt:i4>
      </vt:variant>
      <vt:variant>
        <vt:i4>11</vt:i4>
      </vt:variant>
      <vt:variant>
        <vt:i4>0</vt:i4>
      </vt:variant>
      <vt:variant>
        <vt:i4>5</vt:i4>
      </vt:variant>
      <vt:variant>
        <vt:lpwstr/>
      </vt:variant>
      <vt:variant>
        <vt:lpwstr>_Toc206170433</vt:lpwstr>
      </vt:variant>
      <vt:variant>
        <vt:i4>1376311</vt:i4>
      </vt:variant>
      <vt:variant>
        <vt:i4>8</vt:i4>
      </vt:variant>
      <vt:variant>
        <vt:i4>0</vt:i4>
      </vt:variant>
      <vt:variant>
        <vt:i4>5</vt:i4>
      </vt:variant>
      <vt:variant>
        <vt:lpwstr/>
      </vt:variant>
      <vt:variant>
        <vt:lpwstr>_Toc206170432</vt:lpwstr>
      </vt:variant>
      <vt:variant>
        <vt:i4>1376311</vt:i4>
      </vt:variant>
      <vt:variant>
        <vt:i4>5</vt:i4>
      </vt:variant>
      <vt:variant>
        <vt:i4>0</vt:i4>
      </vt:variant>
      <vt:variant>
        <vt:i4>5</vt:i4>
      </vt:variant>
      <vt:variant>
        <vt:lpwstr/>
      </vt:variant>
      <vt:variant>
        <vt:lpwstr>_Toc206170431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2025-11-07T14:40:00Z</dcterms:created>
  <dcterms:modified xsi:type="dcterms:W3CDTF">2025-11-07T17:11:00Z</dcterms:modified>
</cp:coreProperties>
</file>